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59A56" w14:textId="77777777" w:rsidR="00784391" w:rsidRPr="00784391" w:rsidRDefault="00784391" w:rsidP="002F7F5A">
      <w:pPr>
        <w:jc w:val="center"/>
        <w:rPr>
          <w:rFonts w:cstheme="majorBidi"/>
          <w:b/>
          <w:bCs/>
          <w:sz w:val="32"/>
          <w:szCs w:val="32"/>
        </w:rPr>
      </w:pPr>
      <w:bookmarkStart w:id="0" w:name="_GoBack"/>
      <w:bookmarkEnd w:id="0"/>
      <w:r w:rsidRPr="00784391">
        <w:rPr>
          <w:rFonts w:cstheme="majorBidi"/>
          <w:b/>
          <w:bCs/>
          <w:sz w:val="32"/>
          <w:szCs w:val="32"/>
        </w:rPr>
        <w:t>THE ASHKENAZI GENOME CONSORTIUM</w:t>
      </w:r>
    </w:p>
    <w:p w14:paraId="10EEB454" w14:textId="77777777" w:rsidR="00784391" w:rsidRPr="00784391" w:rsidRDefault="00784391" w:rsidP="00784391">
      <w:pPr>
        <w:jc w:val="center"/>
        <w:rPr>
          <w:rFonts w:cstheme="majorBidi"/>
          <w:sz w:val="24"/>
          <w:szCs w:val="24"/>
        </w:rPr>
      </w:pPr>
      <w:r w:rsidRPr="00784391">
        <w:rPr>
          <w:rFonts w:cstheme="majorBidi"/>
          <w:b/>
          <w:bCs/>
          <w:sz w:val="32"/>
          <w:szCs w:val="32"/>
        </w:rPr>
        <w:t>DATA ACCESS AGREEMENT</w:t>
      </w:r>
    </w:p>
    <w:p w14:paraId="3088C140" w14:textId="77777777" w:rsidR="00784391" w:rsidRPr="00784391" w:rsidRDefault="00784391" w:rsidP="00784391">
      <w:pPr>
        <w:rPr>
          <w:rFonts w:cstheme="majorBidi"/>
          <w:b/>
          <w:bCs/>
          <w:sz w:val="24"/>
          <w:szCs w:val="24"/>
        </w:rPr>
      </w:pPr>
      <w:r w:rsidRPr="00784391">
        <w:rPr>
          <w:rFonts w:cstheme="majorBidi"/>
          <w:b/>
          <w:bCs/>
          <w:sz w:val="24"/>
          <w:szCs w:val="24"/>
        </w:rPr>
        <w:t xml:space="preserve">This agreement governs the terms on which access will be granted to the genotype data generated by the Ashkenazi Genome Consortium. </w:t>
      </w:r>
    </w:p>
    <w:p w14:paraId="096A79B6" w14:textId="77777777" w:rsidR="00784391" w:rsidRPr="00784391" w:rsidRDefault="00784391" w:rsidP="00784391">
      <w:pPr>
        <w:rPr>
          <w:rFonts w:cstheme="majorBidi"/>
          <w:b/>
          <w:bCs/>
          <w:sz w:val="24"/>
          <w:szCs w:val="24"/>
        </w:rPr>
      </w:pPr>
      <w:r w:rsidRPr="00784391">
        <w:rPr>
          <w:rFonts w:cstheme="majorBidi"/>
          <w:b/>
          <w:bCs/>
          <w:sz w:val="24"/>
          <w:szCs w:val="24"/>
        </w:rPr>
        <w:t xml:space="preserve">In signing this agreement, </w:t>
      </w:r>
      <w:proofErr w:type="gramStart"/>
      <w:r w:rsidRPr="00784391">
        <w:rPr>
          <w:rFonts w:cstheme="majorBidi"/>
          <w:b/>
          <w:bCs/>
          <w:sz w:val="24"/>
          <w:szCs w:val="24"/>
        </w:rPr>
        <w:t>You</w:t>
      </w:r>
      <w:proofErr w:type="gramEnd"/>
      <w:r w:rsidRPr="00784391">
        <w:rPr>
          <w:rFonts w:cstheme="majorBidi"/>
          <w:b/>
          <w:bCs/>
          <w:sz w:val="24"/>
          <w:szCs w:val="24"/>
        </w:rPr>
        <w:t xml:space="preserve"> are agreeing to be bound by the terms and conditions of access set out in this agreement. </w:t>
      </w:r>
    </w:p>
    <w:p w14:paraId="54CBFD34" w14:textId="77777777" w:rsidR="00784391" w:rsidRPr="00784391" w:rsidRDefault="00784391" w:rsidP="00784391">
      <w:pPr>
        <w:rPr>
          <w:rFonts w:cstheme="majorBidi"/>
          <w:b/>
          <w:bCs/>
          <w:sz w:val="24"/>
          <w:szCs w:val="24"/>
        </w:rPr>
      </w:pPr>
      <w:r w:rsidRPr="00784391">
        <w:rPr>
          <w:rFonts w:cstheme="majorBidi"/>
          <w:b/>
          <w:bCs/>
          <w:sz w:val="24"/>
          <w:szCs w:val="24"/>
        </w:rPr>
        <w:t xml:space="preserve">For the sake of clarity, the terms of access set out in this agreement apply both to the User and the User’s Institution (as defined below). User Institution and User are referred to within the agreement as “You” and “Your” shall be construed accordingly. </w:t>
      </w:r>
    </w:p>
    <w:p w14:paraId="30BD95AC" w14:textId="77777777" w:rsidR="00784391" w:rsidRPr="00784391" w:rsidRDefault="00784391" w:rsidP="00784391">
      <w:pPr>
        <w:rPr>
          <w:rFonts w:cstheme="majorBidi"/>
          <w:b/>
          <w:bCs/>
          <w:sz w:val="24"/>
          <w:szCs w:val="24"/>
        </w:rPr>
      </w:pPr>
      <w:r w:rsidRPr="00784391">
        <w:rPr>
          <w:rFonts w:cstheme="majorBidi"/>
          <w:b/>
          <w:bCs/>
          <w:sz w:val="24"/>
          <w:szCs w:val="24"/>
        </w:rPr>
        <w:t xml:space="preserve">Definitions: </w:t>
      </w:r>
    </w:p>
    <w:p w14:paraId="7423C2E5" w14:textId="77777777" w:rsidR="00784391" w:rsidRPr="00784391" w:rsidRDefault="00784391" w:rsidP="00784391">
      <w:pPr>
        <w:rPr>
          <w:rFonts w:cstheme="majorBidi"/>
          <w:sz w:val="24"/>
          <w:szCs w:val="24"/>
        </w:rPr>
      </w:pPr>
      <w:r w:rsidRPr="00784391">
        <w:rPr>
          <w:rFonts w:cstheme="majorBidi"/>
          <w:i/>
          <w:iCs/>
          <w:sz w:val="24"/>
          <w:szCs w:val="24"/>
        </w:rPr>
        <w:t>Consortium</w:t>
      </w:r>
      <w:r w:rsidR="002F7F5A">
        <w:rPr>
          <w:rFonts w:cstheme="majorBidi"/>
          <w:sz w:val="24"/>
          <w:szCs w:val="24"/>
        </w:rPr>
        <w:t xml:space="preserve"> means T</w:t>
      </w:r>
      <w:r w:rsidRPr="00784391">
        <w:rPr>
          <w:rFonts w:cstheme="majorBidi"/>
          <w:sz w:val="24"/>
          <w:szCs w:val="24"/>
        </w:rPr>
        <w:t xml:space="preserve">he Ashkenazi Genome Consortium, a group of investigators, </w:t>
      </w:r>
      <w:r w:rsidR="00253EE9">
        <w:rPr>
          <w:rFonts w:cstheme="majorBidi"/>
          <w:sz w:val="24"/>
          <w:szCs w:val="24"/>
        </w:rPr>
        <w:t>listed in the appendix</w:t>
      </w:r>
      <w:r w:rsidR="002F7F5A">
        <w:rPr>
          <w:rFonts w:cstheme="majorBidi"/>
          <w:sz w:val="24"/>
          <w:szCs w:val="24"/>
        </w:rPr>
        <w:t>.</w:t>
      </w:r>
      <w:r w:rsidR="00253EE9">
        <w:rPr>
          <w:rFonts w:cstheme="majorBidi"/>
          <w:sz w:val="24"/>
          <w:szCs w:val="24"/>
        </w:rPr>
        <w:t xml:space="preserve"> </w:t>
      </w:r>
      <w:r w:rsidRPr="00784391">
        <w:rPr>
          <w:rFonts w:cstheme="majorBidi"/>
          <w:i/>
          <w:iCs/>
          <w:sz w:val="24"/>
          <w:szCs w:val="24"/>
        </w:rPr>
        <w:t>Data</w:t>
      </w:r>
      <w:r w:rsidRPr="00784391">
        <w:rPr>
          <w:rFonts w:cstheme="majorBidi"/>
          <w:sz w:val="24"/>
          <w:szCs w:val="24"/>
        </w:rPr>
        <w:t xml:space="preserve"> means all and any human genetic data obtained from the Consortium. </w:t>
      </w:r>
    </w:p>
    <w:p w14:paraId="1AF8BC1C" w14:textId="77777777" w:rsidR="00784391" w:rsidRPr="00784391" w:rsidRDefault="00784391" w:rsidP="00784391">
      <w:pPr>
        <w:rPr>
          <w:rFonts w:cstheme="majorBidi"/>
          <w:sz w:val="24"/>
          <w:szCs w:val="24"/>
        </w:rPr>
      </w:pPr>
      <w:r w:rsidRPr="00784391">
        <w:rPr>
          <w:rFonts w:cstheme="majorBidi"/>
          <w:i/>
          <w:iCs/>
          <w:sz w:val="24"/>
          <w:szCs w:val="24"/>
        </w:rPr>
        <w:t>Data Subject</w:t>
      </w:r>
      <w:r w:rsidRPr="00784391">
        <w:rPr>
          <w:rFonts w:cstheme="majorBidi"/>
          <w:sz w:val="24"/>
          <w:szCs w:val="24"/>
        </w:rPr>
        <w:t xml:space="preserve"> means a person, who has been informed of the purpose for which the Data is held and has given his/her informed consent thereto. </w:t>
      </w:r>
    </w:p>
    <w:p w14:paraId="53554DD2" w14:textId="77777777" w:rsidR="00784391" w:rsidRPr="00784391" w:rsidRDefault="00784391" w:rsidP="00784391">
      <w:pPr>
        <w:rPr>
          <w:rFonts w:cstheme="majorBidi"/>
          <w:sz w:val="24"/>
          <w:szCs w:val="24"/>
        </w:rPr>
      </w:pPr>
      <w:r w:rsidRPr="00784391">
        <w:rPr>
          <w:rFonts w:cstheme="majorBidi"/>
          <w:i/>
          <w:iCs/>
          <w:sz w:val="24"/>
          <w:szCs w:val="24"/>
        </w:rPr>
        <w:t>User</w:t>
      </w:r>
      <w:r w:rsidRPr="00784391">
        <w:rPr>
          <w:rFonts w:cstheme="majorBidi"/>
          <w:sz w:val="24"/>
          <w:szCs w:val="24"/>
        </w:rPr>
        <w:t xml:space="preserve"> means a researcher whose User Institution has previously completed this Data Access Agreement and has received acknowledgement of its acceptance. </w:t>
      </w:r>
    </w:p>
    <w:p w14:paraId="0A974E5B" w14:textId="77777777" w:rsidR="00784391" w:rsidRPr="00784391" w:rsidRDefault="00784391" w:rsidP="00784391">
      <w:pPr>
        <w:rPr>
          <w:rFonts w:cstheme="majorBidi"/>
          <w:sz w:val="24"/>
          <w:szCs w:val="24"/>
        </w:rPr>
      </w:pPr>
      <w:r w:rsidRPr="00784391">
        <w:rPr>
          <w:rFonts w:cstheme="majorBidi"/>
          <w:i/>
          <w:iCs/>
          <w:sz w:val="24"/>
          <w:szCs w:val="24"/>
        </w:rPr>
        <w:t>Publications</w:t>
      </w:r>
      <w:r w:rsidRPr="00784391">
        <w:rPr>
          <w:rFonts w:cstheme="majorBidi"/>
          <w:sz w:val="24"/>
          <w:szCs w:val="24"/>
        </w:rPr>
        <w:t xml:space="preserve"> means, without limitation, articles published in print journals, electronic journals, reviews, books, posters and other written and verbal presentations of research. </w:t>
      </w:r>
    </w:p>
    <w:p w14:paraId="69A59D19" w14:textId="77777777" w:rsidR="00784391" w:rsidRPr="00784391" w:rsidRDefault="00784391" w:rsidP="00784391">
      <w:pPr>
        <w:rPr>
          <w:rFonts w:cstheme="majorBidi"/>
          <w:sz w:val="24"/>
          <w:szCs w:val="24"/>
        </w:rPr>
      </w:pPr>
      <w:r w:rsidRPr="00784391">
        <w:rPr>
          <w:rFonts w:cstheme="majorBidi"/>
          <w:sz w:val="24"/>
          <w:szCs w:val="24"/>
        </w:rPr>
        <w:t xml:space="preserve">User Institution means the organization at which the User is employed, affiliated or enrolled. </w:t>
      </w:r>
    </w:p>
    <w:p w14:paraId="1188B016" w14:textId="77777777" w:rsidR="00784391" w:rsidRPr="00784391" w:rsidRDefault="00784391" w:rsidP="00784391">
      <w:pPr>
        <w:rPr>
          <w:rFonts w:cstheme="majorBidi"/>
          <w:b/>
          <w:bCs/>
          <w:sz w:val="24"/>
          <w:szCs w:val="24"/>
        </w:rPr>
      </w:pPr>
      <w:r w:rsidRPr="00784391">
        <w:rPr>
          <w:rFonts w:cstheme="majorBidi"/>
          <w:b/>
          <w:bCs/>
          <w:sz w:val="24"/>
          <w:szCs w:val="24"/>
        </w:rPr>
        <w:t xml:space="preserve">Terms and Conditions: </w:t>
      </w:r>
    </w:p>
    <w:p w14:paraId="43D7F3F7" w14:textId="77777777" w:rsidR="00784391" w:rsidRPr="00784391" w:rsidRDefault="00784391" w:rsidP="00784391">
      <w:pPr>
        <w:rPr>
          <w:rFonts w:cstheme="majorBidi"/>
          <w:sz w:val="24"/>
          <w:szCs w:val="24"/>
        </w:rPr>
      </w:pPr>
      <w:r w:rsidRPr="00784391">
        <w:rPr>
          <w:rFonts w:cstheme="majorBidi"/>
          <w:sz w:val="24"/>
          <w:szCs w:val="24"/>
        </w:rPr>
        <w:t xml:space="preserve">In signing this Agreement: </w:t>
      </w:r>
    </w:p>
    <w:p w14:paraId="4EB71881"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You agree to use the Data only for the advancement of research, according to the consent obtained from sample donors.</w:t>
      </w:r>
    </w:p>
    <w:p w14:paraId="6133FB88"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You agree not to use the Data or any part thereof for the creation of products for sale or for any commercial purpose.</w:t>
      </w:r>
    </w:p>
    <w:p w14:paraId="2245751D"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to preserve, at all times, the confidentiality of information and the Data pertaining to the Data Subjects. In particular, </w:t>
      </w:r>
      <w:proofErr w:type="gramStart"/>
      <w:r w:rsidRPr="00784391">
        <w:rPr>
          <w:rFonts w:cstheme="majorBidi"/>
          <w:sz w:val="24"/>
          <w:szCs w:val="24"/>
        </w:rPr>
        <w:t>You</w:t>
      </w:r>
      <w:proofErr w:type="gramEnd"/>
      <w:r w:rsidRPr="00784391">
        <w:rPr>
          <w:rFonts w:cstheme="majorBidi"/>
          <w:sz w:val="24"/>
          <w:szCs w:val="24"/>
        </w:rPr>
        <w:t xml:space="preserve"> undertake not to use, or attempt to use the Data to compromise or otherwise infringe the confidentiality of information on Data Subjects and their right to privacy.</w:t>
      </w:r>
    </w:p>
    <w:p w14:paraId="5DAA91CE"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lastRenderedPageBreak/>
        <w:t xml:space="preserve">You agree not to attempt to link the Data provided under this agreement to </w:t>
      </w:r>
      <w:r w:rsidR="00BC375F">
        <w:rPr>
          <w:rFonts w:cstheme="majorBidi"/>
          <w:sz w:val="24"/>
          <w:szCs w:val="24"/>
        </w:rPr>
        <w:t>identifiable</w:t>
      </w:r>
      <w:r w:rsidR="00BC375F" w:rsidRPr="00784391">
        <w:rPr>
          <w:rFonts w:cstheme="majorBidi"/>
          <w:sz w:val="24"/>
          <w:szCs w:val="24"/>
        </w:rPr>
        <w:t xml:space="preserve"> </w:t>
      </w:r>
      <w:r w:rsidRPr="00784391">
        <w:rPr>
          <w:rFonts w:cstheme="majorBidi"/>
          <w:sz w:val="24"/>
          <w:szCs w:val="24"/>
        </w:rPr>
        <w:t xml:space="preserve">information or archive data available for the </w:t>
      </w:r>
      <w:r w:rsidR="00BC375F">
        <w:rPr>
          <w:rFonts w:cstheme="majorBidi"/>
          <w:sz w:val="24"/>
          <w:szCs w:val="24"/>
        </w:rPr>
        <w:t>Data Subjects</w:t>
      </w:r>
      <w:r w:rsidRPr="00784391">
        <w:rPr>
          <w:rFonts w:cstheme="majorBidi"/>
          <w:sz w:val="24"/>
          <w:szCs w:val="24"/>
        </w:rPr>
        <w:t xml:space="preserve"> provided, even if access to that data has been formally granted to you, or it is freely available without restriction, without specific permission being sought from the relevant access committees.</w:t>
      </w:r>
    </w:p>
    <w:p w14:paraId="73A8757B"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not to transfer or disclose the Data, in whole or part, or any identifiable material derived from the Data, to others, except as necessary for data/safety monitoring or program management. Should </w:t>
      </w:r>
      <w:proofErr w:type="gramStart"/>
      <w:r w:rsidRPr="00784391">
        <w:rPr>
          <w:rFonts w:cstheme="majorBidi"/>
          <w:sz w:val="24"/>
          <w:szCs w:val="24"/>
        </w:rPr>
        <w:t>You</w:t>
      </w:r>
      <w:proofErr w:type="gramEnd"/>
      <w:r w:rsidRPr="00784391">
        <w:rPr>
          <w:rFonts w:cstheme="majorBidi"/>
          <w:sz w:val="24"/>
          <w:szCs w:val="24"/>
        </w:rPr>
        <w:t xml:space="preserve"> wish to share the Data with a collaborator outside the same Institution, the third party must make a separate application for access to the Data.</w:t>
      </w:r>
    </w:p>
    <w:p w14:paraId="20AFF43C" w14:textId="77777777" w:rsidR="00E70E78" w:rsidRDefault="00784391" w:rsidP="00460C1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to use the Data for the approved purpose and project described in </w:t>
      </w:r>
      <w:proofErr w:type="gramStart"/>
      <w:r w:rsidR="00460C11">
        <w:rPr>
          <w:rFonts w:cstheme="majorBidi"/>
          <w:sz w:val="24"/>
          <w:szCs w:val="24"/>
        </w:rPr>
        <w:t>Y</w:t>
      </w:r>
      <w:r w:rsidRPr="00784391">
        <w:rPr>
          <w:rFonts w:cstheme="majorBidi"/>
          <w:sz w:val="24"/>
          <w:szCs w:val="24"/>
        </w:rPr>
        <w:t>our</w:t>
      </w:r>
      <w:proofErr w:type="gramEnd"/>
      <w:r w:rsidRPr="00784391">
        <w:rPr>
          <w:rFonts w:cstheme="majorBidi"/>
          <w:sz w:val="24"/>
          <w:szCs w:val="24"/>
        </w:rPr>
        <w:t xml:space="preserve"> application; use of the data for a new purpose or project will require a new application and approval. A new purpose includes, but not limited to, studying a disease, cohort, or sequencing/genotyping strategy not explicitly specified in the </w:t>
      </w:r>
      <w:r w:rsidR="00E659E9">
        <w:rPr>
          <w:rFonts w:cstheme="majorBidi"/>
          <w:sz w:val="24"/>
          <w:szCs w:val="24"/>
        </w:rPr>
        <w:t>Data Access Form</w:t>
      </w:r>
      <w:r w:rsidRPr="00784391">
        <w:rPr>
          <w:rFonts w:cstheme="majorBidi"/>
          <w:sz w:val="24"/>
          <w:szCs w:val="24"/>
        </w:rPr>
        <w:t>.</w:t>
      </w:r>
    </w:p>
    <w:p w14:paraId="193961B7" w14:textId="77777777" w:rsidR="00784391" w:rsidRPr="00C058C6" w:rsidRDefault="00E70E78" w:rsidP="00E65FA0">
      <w:pPr>
        <w:pStyle w:val="ListParagraph"/>
        <w:numPr>
          <w:ilvl w:val="0"/>
          <w:numId w:val="1"/>
        </w:numPr>
        <w:tabs>
          <w:tab w:val="left" w:pos="360"/>
        </w:tabs>
        <w:ind w:left="360"/>
        <w:rPr>
          <w:rFonts w:cstheme="majorBidi"/>
          <w:sz w:val="24"/>
          <w:szCs w:val="24"/>
        </w:rPr>
      </w:pPr>
      <w:r w:rsidRPr="00C058C6">
        <w:rPr>
          <w:rFonts w:cstheme="majorBidi"/>
          <w:sz w:val="24"/>
          <w:szCs w:val="24"/>
        </w:rPr>
        <w:t>You agree that any use of the Data for studies directly competing with TAGC investigators would be done in collaboration with the relevant investigator(s).</w:t>
      </w:r>
      <w:r w:rsidR="0062799E" w:rsidRPr="00C058C6">
        <w:rPr>
          <w:rFonts w:cstheme="majorBidi"/>
          <w:sz w:val="24"/>
          <w:szCs w:val="24"/>
        </w:rPr>
        <w:t xml:space="preserve"> </w:t>
      </w:r>
      <w:r w:rsidR="00D42DA5" w:rsidRPr="00C058C6">
        <w:rPr>
          <w:rFonts w:cstheme="majorBidi"/>
          <w:sz w:val="24"/>
          <w:szCs w:val="24"/>
        </w:rPr>
        <w:t>R</w:t>
      </w:r>
      <w:r w:rsidR="0062799E" w:rsidRPr="00C058C6">
        <w:rPr>
          <w:rFonts w:cstheme="majorBidi"/>
          <w:sz w:val="24"/>
          <w:szCs w:val="24"/>
        </w:rPr>
        <w:t xml:space="preserve">esearch interests of TAGC investigators </w:t>
      </w:r>
      <w:r w:rsidR="008A3524" w:rsidRPr="00C058C6">
        <w:rPr>
          <w:rFonts w:cstheme="majorBidi"/>
          <w:sz w:val="24"/>
          <w:szCs w:val="24"/>
        </w:rPr>
        <w:t xml:space="preserve">that are protected by this mechanism </w:t>
      </w:r>
      <w:r w:rsidR="0062799E" w:rsidRPr="00C058C6">
        <w:rPr>
          <w:rFonts w:cstheme="majorBidi"/>
          <w:sz w:val="24"/>
          <w:szCs w:val="24"/>
        </w:rPr>
        <w:t xml:space="preserve">are listed in </w:t>
      </w:r>
      <w:r w:rsidR="008672C6" w:rsidRPr="00C058C6">
        <w:rPr>
          <w:rFonts w:cstheme="majorBidi"/>
          <w:sz w:val="24"/>
          <w:szCs w:val="24"/>
        </w:rPr>
        <w:t>the “protected research interest</w:t>
      </w:r>
      <w:r w:rsidR="001451A7">
        <w:rPr>
          <w:rFonts w:cstheme="majorBidi"/>
          <w:sz w:val="24"/>
          <w:szCs w:val="24"/>
        </w:rPr>
        <w:t>s</w:t>
      </w:r>
      <w:r w:rsidR="008672C6" w:rsidRPr="00C058C6">
        <w:rPr>
          <w:rFonts w:cstheme="majorBidi"/>
          <w:sz w:val="24"/>
          <w:szCs w:val="24"/>
        </w:rPr>
        <w:t xml:space="preserve">” column in the Table </w:t>
      </w:r>
      <w:r w:rsidR="00E65FA0" w:rsidRPr="00C058C6">
        <w:rPr>
          <w:rFonts w:cstheme="majorBidi"/>
          <w:sz w:val="24"/>
          <w:szCs w:val="24"/>
        </w:rPr>
        <w:t>shown</w:t>
      </w:r>
      <w:r w:rsidR="008672C6" w:rsidRPr="00C058C6">
        <w:rPr>
          <w:rFonts w:cstheme="majorBidi"/>
          <w:sz w:val="24"/>
          <w:szCs w:val="24"/>
        </w:rPr>
        <w:t xml:space="preserve"> in </w:t>
      </w:r>
      <w:r w:rsidR="0062799E" w:rsidRPr="00C058C6">
        <w:rPr>
          <w:rFonts w:cstheme="majorBidi"/>
          <w:sz w:val="24"/>
          <w:szCs w:val="24"/>
        </w:rPr>
        <w:t>Schedule 1.</w:t>
      </w:r>
    </w:p>
    <w:p w14:paraId="49665AA2" w14:textId="77777777" w:rsidR="009175C5" w:rsidRPr="00784391" w:rsidRDefault="009175C5" w:rsidP="00206FCF">
      <w:pPr>
        <w:pStyle w:val="ListParagraph"/>
        <w:numPr>
          <w:ilvl w:val="0"/>
          <w:numId w:val="1"/>
        </w:numPr>
        <w:tabs>
          <w:tab w:val="left" w:pos="360"/>
        </w:tabs>
        <w:ind w:left="360"/>
        <w:rPr>
          <w:rFonts w:cstheme="majorBidi"/>
          <w:sz w:val="24"/>
          <w:szCs w:val="24"/>
        </w:rPr>
      </w:pPr>
      <w:r>
        <w:rPr>
          <w:rFonts w:cstheme="majorBidi"/>
          <w:sz w:val="24"/>
          <w:szCs w:val="24"/>
        </w:rPr>
        <w:t xml:space="preserve">You agree not to use the Data for the stigmatization, defamation, or denigration of any ethnic </w:t>
      </w:r>
      <w:r w:rsidR="00460C11">
        <w:rPr>
          <w:rFonts w:cstheme="majorBidi"/>
          <w:sz w:val="24"/>
          <w:szCs w:val="24"/>
        </w:rPr>
        <w:t xml:space="preserve">or cultural </w:t>
      </w:r>
      <w:r>
        <w:rPr>
          <w:rFonts w:cstheme="majorBidi"/>
          <w:sz w:val="24"/>
          <w:szCs w:val="24"/>
        </w:rPr>
        <w:t xml:space="preserve">group. You agree </w:t>
      </w:r>
      <w:r w:rsidR="00206FCF">
        <w:rPr>
          <w:rFonts w:cstheme="majorBidi"/>
          <w:sz w:val="24"/>
          <w:szCs w:val="24"/>
        </w:rPr>
        <w:t xml:space="preserve">to comply with the standards of scientific inquiry and integrity if using the </w:t>
      </w:r>
      <w:r>
        <w:rPr>
          <w:rFonts w:cstheme="majorBidi"/>
          <w:sz w:val="24"/>
          <w:szCs w:val="24"/>
        </w:rPr>
        <w:t xml:space="preserve">Data to </w:t>
      </w:r>
      <w:r w:rsidR="00206FCF">
        <w:rPr>
          <w:rFonts w:cstheme="majorBidi"/>
          <w:sz w:val="24"/>
          <w:szCs w:val="24"/>
        </w:rPr>
        <w:t>pursue questions of potential political or cultural sensitivity</w:t>
      </w:r>
      <w:r w:rsidR="00460C11">
        <w:rPr>
          <w:rFonts w:cstheme="majorBidi"/>
          <w:sz w:val="24"/>
          <w:szCs w:val="24"/>
        </w:rPr>
        <w:t>.</w:t>
      </w:r>
    </w:p>
    <w:p w14:paraId="76AFD8AF"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accept that Data will be reissued from time to time, with suitable versioning. If the reissue is at the request of sample donors and/or other ethical scrutiny, </w:t>
      </w:r>
      <w:proofErr w:type="gramStart"/>
      <w:r w:rsidRPr="00784391">
        <w:rPr>
          <w:rFonts w:cstheme="majorBidi"/>
          <w:sz w:val="24"/>
          <w:szCs w:val="24"/>
        </w:rPr>
        <w:t>You</w:t>
      </w:r>
      <w:proofErr w:type="gramEnd"/>
      <w:r w:rsidRPr="00784391">
        <w:rPr>
          <w:rFonts w:cstheme="majorBidi"/>
          <w:sz w:val="24"/>
          <w:szCs w:val="24"/>
        </w:rPr>
        <w:t xml:space="preserve"> will destro</w:t>
      </w:r>
      <w:r w:rsidR="00460C11">
        <w:rPr>
          <w:rFonts w:cstheme="majorBidi"/>
          <w:sz w:val="24"/>
          <w:szCs w:val="24"/>
        </w:rPr>
        <w:t>y earlier versions of the Data.</w:t>
      </w:r>
    </w:p>
    <w:p w14:paraId="531897A0"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to abide by the terms outlined in the Consortium 'Publications </w:t>
      </w:r>
      <w:r w:rsidR="00254EAC">
        <w:rPr>
          <w:rFonts w:cstheme="majorBidi"/>
          <w:sz w:val="24"/>
          <w:szCs w:val="24"/>
        </w:rPr>
        <w:t>Policy' as set out in Schedule 2</w:t>
      </w:r>
      <w:r w:rsidRPr="00784391">
        <w:rPr>
          <w:rFonts w:cstheme="majorBidi"/>
          <w:sz w:val="24"/>
          <w:szCs w:val="24"/>
        </w:rPr>
        <w:t>.</w:t>
      </w:r>
    </w:p>
    <w:p w14:paraId="717DBE3F"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to acknowledge in any work based in whole or part on the Data, the published paper from which the Data derives, the version of the data, and the role of the Consortium and the relevant primary collectors and their funders. Suitable wording is provided in the Publications Policy given in Schedule </w:t>
      </w:r>
      <w:r w:rsidR="00253EE9">
        <w:rPr>
          <w:rFonts w:cstheme="majorBidi"/>
          <w:sz w:val="24"/>
          <w:szCs w:val="24"/>
        </w:rPr>
        <w:t>2</w:t>
      </w:r>
      <w:r w:rsidRPr="00784391">
        <w:rPr>
          <w:rFonts w:cstheme="majorBidi"/>
          <w:sz w:val="24"/>
          <w:szCs w:val="24"/>
        </w:rPr>
        <w:t>.</w:t>
      </w:r>
    </w:p>
    <w:p w14:paraId="7FF87104"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accept that the Consortium, the original data creators, depositors or copyright holders, or the funders of the Data or any part of the Data supplied: </w:t>
      </w:r>
    </w:p>
    <w:p w14:paraId="7914A9A6" w14:textId="77777777" w:rsidR="00784391" w:rsidRPr="00784391" w:rsidRDefault="00784391" w:rsidP="00784391">
      <w:pPr>
        <w:pStyle w:val="ListParagraph"/>
        <w:numPr>
          <w:ilvl w:val="0"/>
          <w:numId w:val="2"/>
        </w:numPr>
        <w:tabs>
          <w:tab w:val="left" w:pos="360"/>
        </w:tabs>
        <w:rPr>
          <w:rFonts w:cstheme="majorBidi"/>
          <w:sz w:val="24"/>
          <w:szCs w:val="24"/>
        </w:rPr>
      </w:pPr>
      <w:r w:rsidRPr="00784391">
        <w:rPr>
          <w:rFonts w:cstheme="majorBidi"/>
          <w:sz w:val="24"/>
          <w:szCs w:val="24"/>
        </w:rPr>
        <w:t xml:space="preserve">bear no legal responsibility for the accuracy or comprehensiveness of the Data; and </w:t>
      </w:r>
    </w:p>
    <w:p w14:paraId="28BD479B" w14:textId="77777777" w:rsidR="00784391" w:rsidRPr="00784391" w:rsidRDefault="00784391" w:rsidP="00784391">
      <w:pPr>
        <w:pStyle w:val="ListParagraph"/>
        <w:numPr>
          <w:ilvl w:val="0"/>
          <w:numId w:val="2"/>
        </w:numPr>
        <w:tabs>
          <w:tab w:val="left" w:pos="360"/>
        </w:tabs>
        <w:rPr>
          <w:rFonts w:cstheme="majorBidi"/>
          <w:sz w:val="24"/>
          <w:szCs w:val="24"/>
        </w:rPr>
      </w:pPr>
      <w:proofErr w:type="gramStart"/>
      <w:r w:rsidRPr="00784391">
        <w:rPr>
          <w:rFonts w:cstheme="majorBidi"/>
          <w:sz w:val="24"/>
          <w:szCs w:val="24"/>
        </w:rPr>
        <w:t>accept</w:t>
      </w:r>
      <w:proofErr w:type="gramEnd"/>
      <w:r w:rsidRPr="00784391">
        <w:rPr>
          <w:rFonts w:cstheme="majorBidi"/>
          <w:sz w:val="24"/>
          <w:szCs w:val="24"/>
        </w:rPr>
        <w:t xml:space="preserve"> no liability for indirect, consequential, or incidental, damages or losses arising from use of the Data, or from the unavailability of, or break in access to, the Data for whatever reason.</w:t>
      </w:r>
    </w:p>
    <w:p w14:paraId="0070DA5B"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understand and acknowledge that </w:t>
      </w:r>
      <w:proofErr w:type="gramStart"/>
      <w:r w:rsidRPr="00784391">
        <w:rPr>
          <w:rFonts w:cstheme="majorBidi"/>
          <w:sz w:val="24"/>
          <w:szCs w:val="24"/>
        </w:rPr>
        <w:t>the Data is protected by copyright and other intellectual</w:t>
      </w:r>
      <w:r w:rsidR="00E414AC">
        <w:rPr>
          <w:rFonts w:cstheme="majorBidi"/>
          <w:sz w:val="24"/>
          <w:szCs w:val="24"/>
        </w:rPr>
        <w:t xml:space="preserve"> </w:t>
      </w:r>
      <w:r w:rsidRPr="00784391">
        <w:rPr>
          <w:rFonts w:cstheme="majorBidi"/>
          <w:sz w:val="24"/>
          <w:szCs w:val="24"/>
        </w:rPr>
        <w:t>property rights, and that duplication</w:t>
      </w:r>
      <w:proofErr w:type="gramEnd"/>
      <w:r w:rsidRPr="00784391">
        <w:rPr>
          <w:rFonts w:cstheme="majorBidi"/>
          <w:sz w:val="24"/>
          <w:szCs w:val="24"/>
        </w:rPr>
        <w:t>, except as reasonably required to carry out Your research with the Data, or sale of all or part of the Data on any media is not permitted.</w:t>
      </w:r>
    </w:p>
    <w:p w14:paraId="04758EC2" w14:textId="77777777" w:rsidR="00784391" w:rsidRPr="00784391" w:rsidRDefault="00784391" w:rsidP="00E414AC">
      <w:pPr>
        <w:pStyle w:val="ListParagraph"/>
        <w:numPr>
          <w:ilvl w:val="0"/>
          <w:numId w:val="1"/>
        </w:numPr>
        <w:tabs>
          <w:tab w:val="left" w:pos="360"/>
        </w:tabs>
        <w:ind w:left="360"/>
        <w:rPr>
          <w:rFonts w:cstheme="majorBidi"/>
          <w:sz w:val="24"/>
          <w:szCs w:val="24"/>
        </w:rPr>
      </w:pPr>
      <w:r w:rsidRPr="00784391">
        <w:rPr>
          <w:rFonts w:cstheme="majorBidi"/>
          <w:sz w:val="24"/>
          <w:szCs w:val="24"/>
        </w:rPr>
        <w:lastRenderedPageBreak/>
        <w:t>You recogni</w:t>
      </w:r>
      <w:r w:rsidR="00E414AC">
        <w:rPr>
          <w:rFonts w:cstheme="majorBidi"/>
          <w:sz w:val="24"/>
          <w:szCs w:val="24"/>
        </w:rPr>
        <w:t>z</w:t>
      </w:r>
      <w:r w:rsidRPr="00784391">
        <w:rPr>
          <w:rFonts w:cstheme="majorBidi"/>
          <w:sz w:val="24"/>
          <w:szCs w:val="24"/>
        </w:rPr>
        <w:t xml:space="preserve">e that nothing in this agreement shall operate to transfer to the User Institution any intellectual property rights relating to the Data. The User Institution has the right to develop intellectual property based on comparisons with their own data. </w:t>
      </w:r>
    </w:p>
    <w:p w14:paraId="2CF256B6"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accept that this agreement will terminate immediately upon any breach of this agreement by </w:t>
      </w:r>
      <w:proofErr w:type="gramStart"/>
      <w:r w:rsidRPr="00784391">
        <w:rPr>
          <w:rFonts w:cstheme="majorBidi"/>
          <w:sz w:val="24"/>
          <w:szCs w:val="24"/>
        </w:rPr>
        <w:t>You</w:t>
      </w:r>
      <w:proofErr w:type="gramEnd"/>
      <w:r w:rsidRPr="00784391">
        <w:rPr>
          <w:rFonts w:cstheme="majorBidi"/>
          <w:sz w:val="24"/>
          <w:szCs w:val="24"/>
        </w:rPr>
        <w:t xml:space="preserve"> and You will be required to destroy any Data held. </w:t>
      </w:r>
    </w:p>
    <w:p w14:paraId="67F545DC"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accept that it may be necessary for the Consortium or its appointed agent to alter the terms of this agreement from time to time in order to address new concerns. In this event, the Consortium or its appointed agent will contact You to inform You of any changes and You agree that Your continued use of the Data shall be dependent on the parties entering into a new version of the Agreement. </w:t>
      </w:r>
    </w:p>
    <w:p w14:paraId="4785FD3F"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agree that you will submit a report to the Consortium Data Access Committee, if requested, </w:t>
      </w:r>
      <w:r w:rsidR="00BC375F">
        <w:rPr>
          <w:rFonts w:cstheme="majorBidi"/>
          <w:sz w:val="24"/>
          <w:szCs w:val="24"/>
        </w:rPr>
        <w:t>up</w:t>
      </w:r>
      <w:r w:rsidRPr="00784391">
        <w:rPr>
          <w:rFonts w:cstheme="majorBidi"/>
          <w:sz w:val="24"/>
          <w:szCs w:val="24"/>
        </w:rPr>
        <w:t xml:space="preserve">on completion of the agreed purpose. The Consortium Data Access Committee agrees to treat the report and all information, data, results, and conclusions contained within such report as confidential information belonging to the User Institution. </w:t>
      </w:r>
    </w:p>
    <w:p w14:paraId="7A5146D4" w14:textId="77777777" w:rsidR="00784391" w:rsidRPr="00784391" w:rsidRDefault="00784391" w:rsidP="00460C1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You accept that the Data is protected by and subject to international laws, including but not limited to the </w:t>
      </w:r>
      <w:r w:rsidR="00815E12">
        <w:rPr>
          <w:rFonts w:cstheme="majorBidi"/>
          <w:sz w:val="24"/>
          <w:szCs w:val="24"/>
        </w:rPr>
        <w:t>US</w:t>
      </w:r>
      <w:r w:rsidR="00815E12" w:rsidRPr="00815E12">
        <w:rPr>
          <w:rFonts w:cstheme="majorBidi"/>
          <w:sz w:val="24"/>
          <w:szCs w:val="24"/>
        </w:rPr>
        <w:t xml:space="preserve"> Health Insurance Portability and Accountability Act of 1996</w:t>
      </w:r>
      <w:r w:rsidRPr="00784391">
        <w:rPr>
          <w:rFonts w:cstheme="majorBidi"/>
          <w:sz w:val="24"/>
          <w:szCs w:val="24"/>
        </w:rPr>
        <w:t xml:space="preserve">, and that </w:t>
      </w:r>
      <w:proofErr w:type="gramStart"/>
      <w:r w:rsidRPr="00784391">
        <w:rPr>
          <w:rFonts w:cstheme="majorBidi"/>
          <w:sz w:val="24"/>
          <w:szCs w:val="24"/>
        </w:rPr>
        <w:t>You</w:t>
      </w:r>
      <w:proofErr w:type="gramEnd"/>
      <w:r w:rsidRPr="00784391">
        <w:rPr>
          <w:rFonts w:cstheme="majorBidi"/>
          <w:sz w:val="24"/>
          <w:szCs w:val="24"/>
        </w:rPr>
        <w:t xml:space="preserve"> are responsible for ensuring compliance with any such applicable law. The Consortium Data Access Committee reserves the right to request and inspect data security and management documentation to ensure the adequacy of data protection measures in countries that have no national laws comparable to that which pertain in the EAA. </w:t>
      </w:r>
    </w:p>
    <w:p w14:paraId="1B173744" w14:textId="77777777" w:rsidR="00784391" w:rsidRPr="00784391" w:rsidRDefault="00784391" w:rsidP="00784391">
      <w:pPr>
        <w:pStyle w:val="ListParagraph"/>
        <w:numPr>
          <w:ilvl w:val="0"/>
          <w:numId w:val="1"/>
        </w:numPr>
        <w:tabs>
          <w:tab w:val="left" w:pos="360"/>
        </w:tabs>
        <w:ind w:left="360"/>
        <w:rPr>
          <w:rFonts w:cstheme="majorBidi"/>
          <w:sz w:val="24"/>
          <w:szCs w:val="24"/>
        </w:rPr>
      </w:pPr>
      <w:r w:rsidRPr="00784391">
        <w:rPr>
          <w:rFonts w:cstheme="majorBidi"/>
          <w:sz w:val="24"/>
          <w:szCs w:val="24"/>
        </w:rPr>
        <w:t xml:space="preserve">This agreement shall be construed, interpreted and governed by the laws of </w:t>
      </w:r>
      <w:r w:rsidR="00815E12">
        <w:rPr>
          <w:rFonts w:cstheme="majorBidi"/>
          <w:sz w:val="24"/>
          <w:szCs w:val="24"/>
        </w:rPr>
        <w:t xml:space="preserve">New York States and the United States </w:t>
      </w:r>
      <w:r w:rsidRPr="00784391">
        <w:rPr>
          <w:rFonts w:cstheme="majorBidi"/>
          <w:sz w:val="24"/>
          <w:szCs w:val="24"/>
        </w:rPr>
        <w:t xml:space="preserve">and shall be subject to the non-exclusive jurisdiction of </w:t>
      </w:r>
      <w:r w:rsidR="00815E12">
        <w:rPr>
          <w:rFonts w:cstheme="majorBidi"/>
          <w:sz w:val="24"/>
          <w:szCs w:val="24"/>
        </w:rPr>
        <w:t>US</w:t>
      </w:r>
      <w:r w:rsidRPr="00784391">
        <w:rPr>
          <w:rFonts w:cstheme="majorBidi"/>
          <w:sz w:val="24"/>
          <w:szCs w:val="24"/>
        </w:rPr>
        <w:t xml:space="preserve"> courts. </w:t>
      </w:r>
    </w:p>
    <w:p w14:paraId="64AFF61B" w14:textId="77777777" w:rsidR="00784391" w:rsidRPr="00784391" w:rsidRDefault="00784391" w:rsidP="00784391">
      <w:pPr>
        <w:rPr>
          <w:rFonts w:cstheme="majorBidi"/>
          <w:sz w:val="24"/>
          <w:szCs w:val="24"/>
        </w:rPr>
      </w:pPr>
    </w:p>
    <w:p w14:paraId="4D8151CF" w14:textId="77777777" w:rsidR="00BE49BD" w:rsidRDefault="00BE49BD">
      <w:pPr>
        <w:rPr>
          <w:rFonts w:cstheme="majorBidi"/>
          <w:b/>
          <w:bCs/>
          <w:sz w:val="28"/>
          <w:szCs w:val="28"/>
        </w:rPr>
      </w:pPr>
      <w:r>
        <w:rPr>
          <w:rFonts w:cstheme="majorBidi"/>
          <w:b/>
          <w:bCs/>
          <w:sz w:val="28"/>
          <w:szCs w:val="28"/>
        </w:rPr>
        <w:br w:type="page"/>
      </w:r>
    </w:p>
    <w:p w14:paraId="752C5088" w14:textId="77777777" w:rsidR="00635889" w:rsidRPr="00E414AC" w:rsidRDefault="00635889" w:rsidP="00635889">
      <w:pPr>
        <w:jc w:val="center"/>
        <w:rPr>
          <w:rFonts w:cstheme="majorBidi"/>
          <w:b/>
          <w:bCs/>
          <w:sz w:val="28"/>
          <w:szCs w:val="28"/>
        </w:rPr>
      </w:pPr>
      <w:r w:rsidRPr="00E414AC">
        <w:rPr>
          <w:rFonts w:cstheme="majorBidi"/>
          <w:b/>
          <w:bCs/>
          <w:sz w:val="28"/>
          <w:szCs w:val="28"/>
        </w:rPr>
        <w:lastRenderedPageBreak/>
        <w:t xml:space="preserve">SCHEDULE </w:t>
      </w:r>
      <w:r>
        <w:rPr>
          <w:rFonts w:cstheme="majorBidi"/>
          <w:b/>
          <w:bCs/>
          <w:sz w:val="28"/>
          <w:szCs w:val="28"/>
        </w:rPr>
        <w:t>1</w:t>
      </w:r>
    </w:p>
    <w:p w14:paraId="401A658C" w14:textId="77777777" w:rsidR="00635889" w:rsidRPr="00E414AC" w:rsidRDefault="00635889" w:rsidP="00635889">
      <w:pPr>
        <w:jc w:val="center"/>
        <w:rPr>
          <w:rFonts w:cstheme="majorBidi"/>
          <w:b/>
          <w:bCs/>
          <w:sz w:val="28"/>
          <w:szCs w:val="28"/>
        </w:rPr>
      </w:pPr>
      <w:r>
        <w:rPr>
          <w:rFonts w:cstheme="majorBidi"/>
          <w:b/>
          <w:bCs/>
          <w:sz w:val="28"/>
          <w:szCs w:val="28"/>
        </w:rPr>
        <w:t>TAGC Investigators</w:t>
      </w:r>
      <w:r w:rsidR="007034EF">
        <w:rPr>
          <w:rFonts w:cstheme="majorBidi"/>
          <w:b/>
          <w:bCs/>
          <w:sz w:val="28"/>
          <w:szCs w:val="28"/>
        </w:rPr>
        <w:t xml:space="preserve"> and their research interests</w:t>
      </w:r>
    </w:p>
    <w:tbl>
      <w:tblPr>
        <w:tblStyle w:val="TableGrid"/>
        <w:tblW w:w="0" w:type="auto"/>
        <w:tblLook w:val="04A0" w:firstRow="1" w:lastRow="0" w:firstColumn="1" w:lastColumn="0" w:noHBand="0" w:noVBand="1"/>
      </w:tblPr>
      <w:tblGrid>
        <w:gridCol w:w="1818"/>
        <w:gridCol w:w="1800"/>
        <w:gridCol w:w="3484"/>
        <w:gridCol w:w="2474"/>
      </w:tblGrid>
      <w:tr w:rsidR="00C770D6" w14:paraId="7A3F4D39" w14:textId="77777777" w:rsidTr="00C770D6">
        <w:tc>
          <w:tcPr>
            <w:tcW w:w="1818" w:type="dxa"/>
          </w:tcPr>
          <w:p w14:paraId="4FB67450" w14:textId="77777777" w:rsidR="00C770D6" w:rsidRDefault="00C770D6" w:rsidP="00635889">
            <w:pPr>
              <w:rPr>
                <w:rFonts w:cstheme="majorBidi"/>
                <w:sz w:val="24"/>
                <w:szCs w:val="24"/>
              </w:rPr>
            </w:pPr>
            <w:r>
              <w:rPr>
                <w:rFonts w:cstheme="majorBidi"/>
                <w:sz w:val="24"/>
                <w:szCs w:val="24"/>
              </w:rPr>
              <w:t>Investigator</w:t>
            </w:r>
          </w:p>
        </w:tc>
        <w:tc>
          <w:tcPr>
            <w:tcW w:w="1800" w:type="dxa"/>
          </w:tcPr>
          <w:p w14:paraId="259913B4" w14:textId="77777777" w:rsidR="00C770D6" w:rsidRDefault="00C770D6" w:rsidP="00635889">
            <w:pPr>
              <w:rPr>
                <w:rFonts w:cstheme="majorBidi"/>
                <w:sz w:val="24"/>
                <w:szCs w:val="24"/>
              </w:rPr>
            </w:pPr>
            <w:r>
              <w:rPr>
                <w:rFonts w:cstheme="majorBidi"/>
                <w:sz w:val="24"/>
                <w:szCs w:val="24"/>
              </w:rPr>
              <w:t>Affiliation</w:t>
            </w:r>
          </w:p>
        </w:tc>
        <w:tc>
          <w:tcPr>
            <w:tcW w:w="3484" w:type="dxa"/>
          </w:tcPr>
          <w:p w14:paraId="7C95B6C8" w14:textId="77777777" w:rsidR="00C770D6" w:rsidRDefault="00C770D6" w:rsidP="00635889">
            <w:pPr>
              <w:rPr>
                <w:rFonts w:cstheme="majorBidi"/>
                <w:sz w:val="24"/>
                <w:szCs w:val="24"/>
              </w:rPr>
            </w:pPr>
            <w:r>
              <w:rPr>
                <w:rFonts w:cstheme="majorBidi"/>
                <w:sz w:val="24"/>
                <w:szCs w:val="24"/>
              </w:rPr>
              <w:t>Protected research interests</w:t>
            </w:r>
          </w:p>
        </w:tc>
        <w:tc>
          <w:tcPr>
            <w:tcW w:w="2474" w:type="dxa"/>
          </w:tcPr>
          <w:p w14:paraId="1692010F" w14:textId="77777777" w:rsidR="00C770D6" w:rsidRDefault="00C770D6" w:rsidP="00635889">
            <w:pPr>
              <w:rPr>
                <w:rFonts w:cstheme="majorBidi"/>
                <w:sz w:val="24"/>
                <w:szCs w:val="24"/>
              </w:rPr>
            </w:pPr>
            <w:r>
              <w:rPr>
                <w:rFonts w:cstheme="majorBidi"/>
                <w:sz w:val="24"/>
                <w:szCs w:val="24"/>
              </w:rPr>
              <w:t>Additional interests</w:t>
            </w:r>
          </w:p>
        </w:tc>
      </w:tr>
      <w:tr w:rsidR="00C770D6" w14:paraId="60F83730" w14:textId="77777777" w:rsidTr="00C770D6">
        <w:tc>
          <w:tcPr>
            <w:tcW w:w="1818" w:type="dxa"/>
          </w:tcPr>
          <w:p w14:paraId="69828D6C" w14:textId="77777777" w:rsidR="00C770D6" w:rsidRDefault="00C770D6" w:rsidP="00635889">
            <w:pPr>
              <w:rPr>
                <w:rFonts w:cstheme="majorBidi"/>
                <w:sz w:val="24"/>
                <w:szCs w:val="24"/>
              </w:rPr>
            </w:pPr>
            <w:r w:rsidRPr="00FC5687">
              <w:rPr>
                <w:rFonts w:cstheme="majorBidi"/>
                <w:sz w:val="24"/>
                <w:szCs w:val="24"/>
              </w:rPr>
              <w:t xml:space="preserve">Gil </w:t>
            </w:r>
            <w:proofErr w:type="spellStart"/>
            <w:r w:rsidRPr="00FC5687">
              <w:rPr>
                <w:rFonts w:cstheme="majorBidi"/>
                <w:sz w:val="24"/>
                <w:szCs w:val="24"/>
              </w:rPr>
              <w:t>Atzmon</w:t>
            </w:r>
            <w:proofErr w:type="spellEnd"/>
          </w:p>
        </w:tc>
        <w:tc>
          <w:tcPr>
            <w:tcW w:w="1800" w:type="dxa"/>
          </w:tcPr>
          <w:p w14:paraId="5078630B" w14:textId="77777777" w:rsidR="00C770D6" w:rsidRDefault="00C770D6" w:rsidP="00635889">
            <w:pPr>
              <w:rPr>
                <w:rFonts w:cstheme="majorBidi"/>
                <w:sz w:val="24"/>
                <w:szCs w:val="24"/>
              </w:rPr>
            </w:pPr>
            <w:r>
              <w:rPr>
                <w:rFonts w:cstheme="majorBidi"/>
                <w:sz w:val="24"/>
                <w:szCs w:val="24"/>
              </w:rPr>
              <w:t>Albert Einstein College of Medicine</w:t>
            </w:r>
            <w:r w:rsidR="00B37A29">
              <w:rPr>
                <w:rFonts w:cstheme="majorBidi"/>
                <w:sz w:val="24"/>
                <w:szCs w:val="24"/>
              </w:rPr>
              <w:t>/Haifa University</w:t>
            </w:r>
          </w:p>
        </w:tc>
        <w:tc>
          <w:tcPr>
            <w:tcW w:w="3484" w:type="dxa"/>
          </w:tcPr>
          <w:p w14:paraId="357C6BAC" w14:textId="77777777" w:rsidR="00C770D6" w:rsidRDefault="00C770D6" w:rsidP="00635889">
            <w:pPr>
              <w:rPr>
                <w:rFonts w:cstheme="majorBidi"/>
                <w:sz w:val="24"/>
                <w:szCs w:val="24"/>
              </w:rPr>
            </w:pPr>
            <w:r w:rsidRPr="00FC5687">
              <w:rPr>
                <w:rFonts w:cstheme="majorBidi"/>
                <w:sz w:val="24"/>
                <w:szCs w:val="24"/>
              </w:rPr>
              <w:t xml:space="preserve">Longevity, aging, epigenetics in disease, </w:t>
            </w:r>
            <w:proofErr w:type="spellStart"/>
            <w:r w:rsidRPr="00FC5687">
              <w:rPr>
                <w:rFonts w:cstheme="majorBidi"/>
                <w:sz w:val="24"/>
                <w:szCs w:val="24"/>
              </w:rPr>
              <w:t>epigenomics</w:t>
            </w:r>
            <w:proofErr w:type="spellEnd"/>
            <w:r w:rsidRPr="00FC5687">
              <w:rPr>
                <w:rFonts w:cstheme="majorBidi"/>
                <w:sz w:val="24"/>
                <w:szCs w:val="24"/>
              </w:rPr>
              <w:t>, and lipid profile</w:t>
            </w:r>
          </w:p>
        </w:tc>
        <w:tc>
          <w:tcPr>
            <w:tcW w:w="2474" w:type="dxa"/>
          </w:tcPr>
          <w:p w14:paraId="013B74B0" w14:textId="77777777" w:rsidR="00C770D6" w:rsidRDefault="00C770D6" w:rsidP="00635889">
            <w:pPr>
              <w:rPr>
                <w:rFonts w:cstheme="majorBidi"/>
                <w:sz w:val="24"/>
                <w:szCs w:val="24"/>
              </w:rPr>
            </w:pPr>
          </w:p>
        </w:tc>
      </w:tr>
      <w:tr w:rsidR="00C770D6" w14:paraId="1F4E4072" w14:textId="77777777" w:rsidTr="00C770D6">
        <w:tc>
          <w:tcPr>
            <w:tcW w:w="1818" w:type="dxa"/>
          </w:tcPr>
          <w:p w14:paraId="2D6A0F92" w14:textId="77777777" w:rsidR="00C770D6" w:rsidRDefault="00C770D6" w:rsidP="00635889">
            <w:pPr>
              <w:rPr>
                <w:rFonts w:cstheme="majorBidi"/>
                <w:sz w:val="24"/>
                <w:szCs w:val="24"/>
              </w:rPr>
            </w:pPr>
            <w:r>
              <w:rPr>
                <w:rFonts w:cstheme="majorBidi"/>
                <w:sz w:val="24"/>
                <w:szCs w:val="24"/>
              </w:rPr>
              <w:t xml:space="preserve">Susan </w:t>
            </w:r>
            <w:proofErr w:type="spellStart"/>
            <w:r>
              <w:rPr>
                <w:rFonts w:cstheme="majorBidi"/>
                <w:sz w:val="24"/>
                <w:szCs w:val="24"/>
              </w:rPr>
              <w:t>Bressman</w:t>
            </w:r>
            <w:proofErr w:type="spellEnd"/>
          </w:p>
        </w:tc>
        <w:tc>
          <w:tcPr>
            <w:tcW w:w="1800" w:type="dxa"/>
          </w:tcPr>
          <w:p w14:paraId="58E41EE4" w14:textId="77777777" w:rsidR="00C770D6" w:rsidRDefault="00C770D6" w:rsidP="00635889">
            <w:pPr>
              <w:rPr>
                <w:rFonts w:cstheme="majorBidi"/>
                <w:sz w:val="24"/>
                <w:szCs w:val="24"/>
              </w:rPr>
            </w:pPr>
            <w:r>
              <w:rPr>
                <w:rFonts w:cstheme="majorBidi"/>
                <w:sz w:val="24"/>
                <w:szCs w:val="24"/>
              </w:rPr>
              <w:t>Beth Israel Medical Center</w:t>
            </w:r>
          </w:p>
        </w:tc>
        <w:tc>
          <w:tcPr>
            <w:tcW w:w="3484" w:type="dxa"/>
          </w:tcPr>
          <w:p w14:paraId="4281FC47" w14:textId="77777777" w:rsidR="00C770D6" w:rsidRDefault="00C770D6" w:rsidP="00635889">
            <w:pPr>
              <w:rPr>
                <w:rFonts w:cstheme="majorBidi"/>
                <w:sz w:val="24"/>
                <w:szCs w:val="24"/>
              </w:rPr>
            </w:pPr>
            <w:r w:rsidRPr="00FC5687">
              <w:rPr>
                <w:rFonts w:cstheme="majorBidi"/>
                <w:sz w:val="24"/>
                <w:szCs w:val="24"/>
              </w:rPr>
              <w:t xml:space="preserve">Dystonia; Typical and Atypical </w:t>
            </w:r>
            <w:proofErr w:type="spellStart"/>
            <w:r w:rsidRPr="00FC5687">
              <w:rPr>
                <w:rFonts w:cstheme="majorBidi"/>
                <w:sz w:val="24"/>
                <w:szCs w:val="24"/>
              </w:rPr>
              <w:t>Parkisonian</w:t>
            </w:r>
            <w:proofErr w:type="spellEnd"/>
            <w:r w:rsidRPr="00FC5687">
              <w:rPr>
                <w:rFonts w:cstheme="majorBidi"/>
                <w:sz w:val="24"/>
                <w:szCs w:val="24"/>
              </w:rPr>
              <w:t xml:space="preserve"> Syndromes: Parkinson Disease (PD), PD with dementia, Progressive </w:t>
            </w:r>
            <w:proofErr w:type="spellStart"/>
            <w:r w:rsidRPr="00FC5687">
              <w:rPr>
                <w:rFonts w:cstheme="majorBidi"/>
                <w:sz w:val="24"/>
                <w:szCs w:val="24"/>
              </w:rPr>
              <w:t>supranuclear</w:t>
            </w:r>
            <w:proofErr w:type="spellEnd"/>
            <w:r w:rsidRPr="00FC5687">
              <w:rPr>
                <w:rFonts w:cstheme="majorBidi"/>
                <w:sz w:val="24"/>
                <w:szCs w:val="24"/>
              </w:rPr>
              <w:t xml:space="preserve"> palsy, </w:t>
            </w:r>
            <w:proofErr w:type="spellStart"/>
            <w:r w:rsidRPr="00FC5687">
              <w:rPr>
                <w:rFonts w:cstheme="majorBidi"/>
                <w:sz w:val="24"/>
                <w:szCs w:val="24"/>
              </w:rPr>
              <w:t>Corticobasal</w:t>
            </w:r>
            <w:proofErr w:type="spellEnd"/>
            <w:r w:rsidRPr="00FC5687">
              <w:rPr>
                <w:rFonts w:cstheme="majorBidi"/>
                <w:sz w:val="24"/>
                <w:szCs w:val="24"/>
              </w:rPr>
              <w:t xml:space="preserve"> degeneration, multiple system atrophy, diffuse </w:t>
            </w:r>
            <w:proofErr w:type="spellStart"/>
            <w:r w:rsidRPr="00FC5687">
              <w:rPr>
                <w:rFonts w:cstheme="majorBidi"/>
                <w:sz w:val="24"/>
                <w:szCs w:val="24"/>
              </w:rPr>
              <w:t>Lewy</w:t>
            </w:r>
            <w:proofErr w:type="spellEnd"/>
            <w:r w:rsidRPr="00FC5687">
              <w:rPr>
                <w:rFonts w:cstheme="majorBidi"/>
                <w:sz w:val="24"/>
                <w:szCs w:val="24"/>
              </w:rPr>
              <w:t xml:space="preserve"> body disease; Essential Tremor; </w:t>
            </w:r>
            <w:proofErr w:type="spellStart"/>
            <w:r w:rsidRPr="00FC5687">
              <w:rPr>
                <w:rFonts w:cstheme="majorBidi"/>
                <w:sz w:val="24"/>
                <w:szCs w:val="24"/>
              </w:rPr>
              <w:t>Frontotemporal</w:t>
            </w:r>
            <w:proofErr w:type="spellEnd"/>
            <w:r w:rsidRPr="00FC5687">
              <w:rPr>
                <w:rFonts w:cstheme="majorBidi"/>
                <w:sz w:val="24"/>
                <w:szCs w:val="24"/>
              </w:rPr>
              <w:t xml:space="preserve"> dementia (FTD); and Amyotrophic Lateral Sclerosis (ALS)</w:t>
            </w:r>
          </w:p>
        </w:tc>
        <w:tc>
          <w:tcPr>
            <w:tcW w:w="2474" w:type="dxa"/>
          </w:tcPr>
          <w:p w14:paraId="0FB7F568" w14:textId="77777777" w:rsidR="00C770D6" w:rsidRDefault="00C770D6" w:rsidP="00635889">
            <w:pPr>
              <w:rPr>
                <w:rFonts w:cstheme="majorBidi"/>
                <w:sz w:val="24"/>
                <w:szCs w:val="24"/>
              </w:rPr>
            </w:pPr>
          </w:p>
        </w:tc>
      </w:tr>
      <w:tr w:rsidR="00C770D6" w14:paraId="05E9CF3D" w14:textId="77777777" w:rsidTr="00C770D6">
        <w:tc>
          <w:tcPr>
            <w:tcW w:w="1818" w:type="dxa"/>
          </w:tcPr>
          <w:p w14:paraId="180B0898" w14:textId="77777777" w:rsidR="00C770D6" w:rsidRDefault="00C770D6" w:rsidP="00635889">
            <w:pPr>
              <w:rPr>
                <w:rFonts w:cstheme="majorBidi"/>
                <w:sz w:val="24"/>
                <w:szCs w:val="24"/>
              </w:rPr>
            </w:pPr>
            <w:r>
              <w:rPr>
                <w:rFonts w:cstheme="majorBidi"/>
                <w:sz w:val="24"/>
                <w:szCs w:val="24"/>
              </w:rPr>
              <w:t>Judy Cho</w:t>
            </w:r>
          </w:p>
        </w:tc>
        <w:tc>
          <w:tcPr>
            <w:tcW w:w="1800" w:type="dxa"/>
          </w:tcPr>
          <w:p w14:paraId="7A556504" w14:textId="77777777" w:rsidR="00C770D6" w:rsidRDefault="00C770D6" w:rsidP="00C770D6">
            <w:pPr>
              <w:rPr>
                <w:rFonts w:cstheme="majorBidi"/>
                <w:sz w:val="24"/>
                <w:szCs w:val="24"/>
              </w:rPr>
            </w:pPr>
            <w:proofErr w:type="spellStart"/>
            <w:r>
              <w:rPr>
                <w:rFonts w:cstheme="majorBidi"/>
                <w:sz w:val="24"/>
                <w:szCs w:val="24"/>
              </w:rPr>
              <w:t>Ichan</w:t>
            </w:r>
            <w:proofErr w:type="spellEnd"/>
            <w:r>
              <w:rPr>
                <w:rFonts w:cstheme="majorBidi"/>
                <w:sz w:val="24"/>
                <w:szCs w:val="24"/>
              </w:rPr>
              <w:t xml:space="preserve"> School of Medicine at Mount Sinai</w:t>
            </w:r>
          </w:p>
        </w:tc>
        <w:tc>
          <w:tcPr>
            <w:tcW w:w="3484" w:type="dxa"/>
          </w:tcPr>
          <w:p w14:paraId="39113454" w14:textId="77777777" w:rsidR="00C770D6" w:rsidRDefault="00C770D6" w:rsidP="00635889">
            <w:pPr>
              <w:rPr>
                <w:rFonts w:cstheme="majorBidi"/>
                <w:sz w:val="24"/>
                <w:szCs w:val="24"/>
              </w:rPr>
            </w:pPr>
            <w:r w:rsidRPr="00FC5687">
              <w:rPr>
                <w:rFonts w:cstheme="majorBidi"/>
                <w:sz w:val="24"/>
                <w:szCs w:val="24"/>
              </w:rPr>
              <w:t>Inflammatory Bowel Disease</w:t>
            </w:r>
          </w:p>
        </w:tc>
        <w:tc>
          <w:tcPr>
            <w:tcW w:w="2474" w:type="dxa"/>
          </w:tcPr>
          <w:p w14:paraId="64114751" w14:textId="77777777" w:rsidR="00C770D6" w:rsidRDefault="00C770D6" w:rsidP="00635889">
            <w:pPr>
              <w:rPr>
                <w:rFonts w:cstheme="majorBidi"/>
                <w:sz w:val="24"/>
                <w:szCs w:val="24"/>
              </w:rPr>
            </w:pPr>
          </w:p>
        </w:tc>
      </w:tr>
      <w:tr w:rsidR="00C770D6" w14:paraId="11C76E0B" w14:textId="77777777" w:rsidTr="00C770D6">
        <w:tc>
          <w:tcPr>
            <w:tcW w:w="1818" w:type="dxa"/>
          </w:tcPr>
          <w:p w14:paraId="75BFFE58" w14:textId="77777777" w:rsidR="00C770D6" w:rsidRDefault="00C770D6" w:rsidP="00635889">
            <w:pPr>
              <w:rPr>
                <w:rFonts w:cstheme="majorBidi"/>
                <w:sz w:val="24"/>
                <w:szCs w:val="24"/>
              </w:rPr>
            </w:pPr>
            <w:r>
              <w:rPr>
                <w:rFonts w:cstheme="majorBidi"/>
                <w:sz w:val="24"/>
                <w:szCs w:val="24"/>
              </w:rPr>
              <w:t>Lorraine Clark</w:t>
            </w:r>
          </w:p>
        </w:tc>
        <w:tc>
          <w:tcPr>
            <w:tcW w:w="1800" w:type="dxa"/>
          </w:tcPr>
          <w:p w14:paraId="618D7618" w14:textId="77777777" w:rsidR="00C770D6" w:rsidRDefault="00C770D6" w:rsidP="00635889">
            <w:pPr>
              <w:rPr>
                <w:rFonts w:cstheme="majorBidi"/>
                <w:sz w:val="24"/>
                <w:szCs w:val="24"/>
              </w:rPr>
            </w:pPr>
            <w:r>
              <w:rPr>
                <w:rFonts w:cstheme="majorBidi"/>
                <w:sz w:val="24"/>
                <w:szCs w:val="24"/>
              </w:rPr>
              <w:t>Columbia University Medical Center</w:t>
            </w:r>
          </w:p>
        </w:tc>
        <w:tc>
          <w:tcPr>
            <w:tcW w:w="3484" w:type="dxa"/>
          </w:tcPr>
          <w:p w14:paraId="0AF867F0" w14:textId="77777777" w:rsidR="00C770D6" w:rsidRDefault="00C770D6" w:rsidP="00635889">
            <w:pPr>
              <w:rPr>
                <w:rFonts w:cstheme="majorBidi"/>
                <w:sz w:val="24"/>
                <w:szCs w:val="24"/>
              </w:rPr>
            </w:pPr>
            <w:r w:rsidRPr="00FC5687">
              <w:rPr>
                <w:rFonts w:cstheme="majorBidi"/>
                <w:sz w:val="24"/>
                <w:szCs w:val="24"/>
              </w:rPr>
              <w:t xml:space="preserve">Neurodegenerative diseases including but not restricted to Dystonia; Typical and Atypical </w:t>
            </w:r>
            <w:proofErr w:type="spellStart"/>
            <w:r w:rsidRPr="00FC5687">
              <w:rPr>
                <w:rFonts w:cstheme="majorBidi"/>
                <w:sz w:val="24"/>
                <w:szCs w:val="24"/>
              </w:rPr>
              <w:t>Parkisonian</w:t>
            </w:r>
            <w:proofErr w:type="spellEnd"/>
            <w:r w:rsidRPr="00FC5687">
              <w:rPr>
                <w:rFonts w:cstheme="majorBidi"/>
                <w:sz w:val="24"/>
                <w:szCs w:val="24"/>
              </w:rPr>
              <w:t xml:space="preserve"> Syndromes: Parkinson Disease (PD), PD with dementia, Dementia with </w:t>
            </w:r>
            <w:proofErr w:type="spellStart"/>
            <w:r w:rsidRPr="00FC5687">
              <w:rPr>
                <w:rFonts w:cstheme="majorBidi"/>
                <w:sz w:val="24"/>
                <w:szCs w:val="24"/>
              </w:rPr>
              <w:t>Lewy</w:t>
            </w:r>
            <w:proofErr w:type="spellEnd"/>
            <w:r w:rsidRPr="00FC5687">
              <w:rPr>
                <w:rFonts w:cstheme="majorBidi"/>
                <w:sz w:val="24"/>
                <w:szCs w:val="24"/>
              </w:rPr>
              <w:t xml:space="preserve"> body, Progressive </w:t>
            </w:r>
            <w:proofErr w:type="spellStart"/>
            <w:r w:rsidRPr="00FC5687">
              <w:rPr>
                <w:rFonts w:cstheme="majorBidi"/>
                <w:sz w:val="24"/>
                <w:szCs w:val="24"/>
              </w:rPr>
              <w:t>supranuclear</w:t>
            </w:r>
            <w:proofErr w:type="spellEnd"/>
            <w:r w:rsidRPr="00FC5687">
              <w:rPr>
                <w:rFonts w:cstheme="majorBidi"/>
                <w:sz w:val="24"/>
                <w:szCs w:val="24"/>
              </w:rPr>
              <w:t xml:space="preserve"> palsy, </w:t>
            </w:r>
            <w:proofErr w:type="spellStart"/>
            <w:r w:rsidRPr="00FC5687">
              <w:rPr>
                <w:rFonts w:cstheme="majorBidi"/>
                <w:sz w:val="24"/>
                <w:szCs w:val="24"/>
              </w:rPr>
              <w:t>Corticobasal</w:t>
            </w:r>
            <w:proofErr w:type="spellEnd"/>
            <w:r w:rsidRPr="00FC5687">
              <w:rPr>
                <w:rFonts w:cstheme="majorBidi"/>
                <w:sz w:val="24"/>
                <w:szCs w:val="24"/>
              </w:rPr>
              <w:t xml:space="preserve"> degeneration, multiple system atrophy, diffuse </w:t>
            </w:r>
            <w:proofErr w:type="spellStart"/>
            <w:r w:rsidRPr="00FC5687">
              <w:rPr>
                <w:rFonts w:cstheme="majorBidi"/>
                <w:sz w:val="24"/>
                <w:szCs w:val="24"/>
              </w:rPr>
              <w:t>Lewy</w:t>
            </w:r>
            <w:proofErr w:type="spellEnd"/>
            <w:r w:rsidRPr="00FC5687">
              <w:rPr>
                <w:rFonts w:cstheme="majorBidi"/>
                <w:sz w:val="24"/>
                <w:szCs w:val="24"/>
              </w:rPr>
              <w:t xml:space="preserve"> body disease; Essential Tremor; </w:t>
            </w:r>
            <w:proofErr w:type="spellStart"/>
            <w:r w:rsidRPr="00FC5687">
              <w:rPr>
                <w:rFonts w:cstheme="majorBidi"/>
                <w:sz w:val="24"/>
                <w:szCs w:val="24"/>
              </w:rPr>
              <w:t>Frontotemporal</w:t>
            </w:r>
            <w:proofErr w:type="spellEnd"/>
            <w:r w:rsidRPr="00FC5687">
              <w:rPr>
                <w:rFonts w:cstheme="majorBidi"/>
                <w:sz w:val="24"/>
                <w:szCs w:val="24"/>
              </w:rPr>
              <w:t xml:space="preserve"> dementia (FTD); and Amyotrophic Lateral Sclerosis (ALS).</w:t>
            </w:r>
          </w:p>
        </w:tc>
        <w:tc>
          <w:tcPr>
            <w:tcW w:w="2474" w:type="dxa"/>
          </w:tcPr>
          <w:p w14:paraId="76B82745" w14:textId="77777777" w:rsidR="00C770D6" w:rsidRDefault="00C770D6" w:rsidP="00635889">
            <w:pPr>
              <w:rPr>
                <w:rFonts w:cstheme="majorBidi"/>
                <w:sz w:val="24"/>
                <w:szCs w:val="24"/>
              </w:rPr>
            </w:pPr>
          </w:p>
        </w:tc>
      </w:tr>
      <w:tr w:rsidR="00C770D6" w14:paraId="11668184" w14:textId="77777777" w:rsidTr="00C770D6">
        <w:tc>
          <w:tcPr>
            <w:tcW w:w="1818" w:type="dxa"/>
          </w:tcPr>
          <w:p w14:paraId="2AD545BC" w14:textId="77777777" w:rsidR="00C770D6" w:rsidRDefault="00C770D6" w:rsidP="00635889">
            <w:pPr>
              <w:rPr>
                <w:rFonts w:cstheme="majorBidi"/>
                <w:sz w:val="24"/>
                <w:szCs w:val="24"/>
              </w:rPr>
            </w:pPr>
            <w:r w:rsidRPr="00FC5687">
              <w:rPr>
                <w:rFonts w:cstheme="majorBidi"/>
                <w:sz w:val="24"/>
                <w:szCs w:val="24"/>
              </w:rPr>
              <w:t xml:space="preserve">Ariel </w:t>
            </w:r>
            <w:proofErr w:type="spellStart"/>
            <w:r w:rsidRPr="00FC5687">
              <w:rPr>
                <w:rFonts w:cstheme="majorBidi"/>
                <w:sz w:val="24"/>
                <w:szCs w:val="24"/>
              </w:rPr>
              <w:t>Darvasi</w:t>
            </w:r>
            <w:proofErr w:type="spellEnd"/>
          </w:p>
        </w:tc>
        <w:tc>
          <w:tcPr>
            <w:tcW w:w="1800" w:type="dxa"/>
          </w:tcPr>
          <w:p w14:paraId="52E0F771" w14:textId="77777777" w:rsidR="00C770D6" w:rsidRDefault="00C770D6" w:rsidP="00635889">
            <w:pPr>
              <w:rPr>
                <w:rFonts w:cstheme="majorBidi"/>
                <w:sz w:val="24"/>
                <w:szCs w:val="24"/>
              </w:rPr>
            </w:pPr>
            <w:r>
              <w:rPr>
                <w:rFonts w:cstheme="majorBidi"/>
                <w:sz w:val="24"/>
                <w:szCs w:val="24"/>
              </w:rPr>
              <w:t>Hebrew University of Jerusalem</w:t>
            </w:r>
          </w:p>
        </w:tc>
        <w:tc>
          <w:tcPr>
            <w:tcW w:w="3484" w:type="dxa"/>
          </w:tcPr>
          <w:p w14:paraId="1B818218" w14:textId="77777777" w:rsidR="00C770D6" w:rsidRDefault="00C770D6" w:rsidP="00635889">
            <w:pPr>
              <w:rPr>
                <w:rFonts w:cstheme="majorBidi"/>
                <w:sz w:val="24"/>
                <w:szCs w:val="24"/>
              </w:rPr>
            </w:pPr>
          </w:p>
        </w:tc>
        <w:tc>
          <w:tcPr>
            <w:tcW w:w="2474" w:type="dxa"/>
          </w:tcPr>
          <w:p w14:paraId="5268969A" w14:textId="77777777" w:rsidR="00C770D6" w:rsidRDefault="00C770D6" w:rsidP="00635889">
            <w:pPr>
              <w:rPr>
                <w:rFonts w:cstheme="majorBidi"/>
                <w:sz w:val="24"/>
                <w:szCs w:val="24"/>
              </w:rPr>
            </w:pPr>
            <w:r w:rsidRPr="00FC5687">
              <w:rPr>
                <w:rFonts w:cstheme="majorBidi"/>
                <w:sz w:val="24"/>
                <w:szCs w:val="24"/>
              </w:rPr>
              <w:t xml:space="preserve">Type I diabetes, Type II diabetes, Colorectal cancer, Breast cancer, Prostate cancer, Alzheimer’s disease, Parkinson’s disease, </w:t>
            </w:r>
            <w:r w:rsidRPr="00FC5687">
              <w:rPr>
                <w:rFonts w:cstheme="majorBidi"/>
                <w:sz w:val="24"/>
                <w:szCs w:val="24"/>
              </w:rPr>
              <w:lastRenderedPageBreak/>
              <w:t>Multiple sclerosis, Migraine, Hypertension, Asthma, Coronary artery disease, Schizophrenia, Bipolar disorder, Schizoaffective disorder, and Rheumatoid arthritis</w:t>
            </w:r>
          </w:p>
        </w:tc>
      </w:tr>
      <w:tr w:rsidR="00C770D6" w14:paraId="7FCB24F3" w14:textId="77777777" w:rsidTr="00C770D6">
        <w:tc>
          <w:tcPr>
            <w:tcW w:w="1818" w:type="dxa"/>
          </w:tcPr>
          <w:p w14:paraId="24836A30" w14:textId="77777777" w:rsidR="00C770D6" w:rsidRDefault="00C770D6" w:rsidP="00635889">
            <w:pPr>
              <w:rPr>
                <w:rFonts w:cstheme="majorBidi"/>
                <w:sz w:val="24"/>
                <w:szCs w:val="24"/>
              </w:rPr>
            </w:pPr>
            <w:r>
              <w:rPr>
                <w:rFonts w:cstheme="majorBidi"/>
                <w:sz w:val="24"/>
                <w:szCs w:val="24"/>
              </w:rPr>
              <w:lastRenderedPageBreak/>
              <w:t xml:space="preserve">Todd </w:t>
            </w:r>
            <w:proofErr w:type="spellStart"/>
            <w:r>
              <w:rPr>
                <w:rFonts w:cstheme="majorBidi"/>
                <w:sz w:val="24"/>
                <w:szCs w:val="24"/>
              </w:rPr>
              <w:t>Lencz</w:t>
            </w:r>
            <w:proofErr w:type="spellEnd"/>
          </w:p>
        </w:tc>
        <w:tc>
          <w:tcPr>
            <w:tcW w:w="1800" w:type="dxa"/>
          </w:tcPr>
          <w:p w14:paraId="608D86FB" w14:textId="77777777" w:rsidR="00C770D6" w:rsidRPr="00C770D6" w:rsidRDefault="00C770D6" w:rsidP="00635889">
            <w:pPr>
              <w:rPr>
                <w:rFonts w:cstheme="majorBidi"/>
                <w:sz w:val="24"/>
                <w:szCs w:val="24"/>
              </w:rPr>
            </w:pPr>
            <w:r w:rsidRPr="00C770D6">
              <w:rPr>
                <w:rFonts w:cstheme="majorBidi"/>
                <w:sz w:val="24"/>
                <w:szCs w:val="24"/>
              </w:rPr>
              <w:t>The Feinstein Institute for Medical Research</w:t>
            </w:r>
          </w:p>
        </w:tc>
        <w:tc>
          <w:tcPr>
            <w:tcW w:w="3484" w:type="dxa"/>
          </w:tcPr>
          <w:p w14:paraId="30803954" w14:textId="77777777" w:rsidR="00C770D6" w:rsidRDefault="00C770D6" w:rsidP="00635889">
            <w:pPr>
              <w:rPr>
                <w:rFonts w:cstheme="majorBidi"/>
                <w:sz w:val="24"/>
                <w:szCs w:val="24"/>
              </w:rPr>
            </w:pPr>
            <w:r w:rsidRPr="00FC5687">
              <w:rPr>
                <w:rFonts w:cstheme="majorBidi"/>
                <w:sz w:val="24"/>
                <w:szCs w:val="24"/>
              </w:rPr>
              <w:t>Schizophrenia, Schizoaffective disorder, and Bipolar disorder</w:t>
            </w:r>
          </w:p>
        </w:tc>
        <w:tc>
          <w:tcPr>
            <w:tcW w:w="2474" w:type="dxa"/>
          </w:tcPr>
          <w:p w14:paraId="422425CE" w14:textId="77777777" w:rsidR="00C770D6" w:rsidRDefault="00C770D6" w:rsidP="00635889">
            <w:pPr>
              <w:rPr>
                <w:rFonts w:cstheme="majorBidi"/>
                <w:sz w:val="24"/>
                <w:szCs w:val="24"/>
              </w:rPr>
            </w:pPr>
          </w:p>
        </w:tc>
      </w:tr>
      <w:tr w:rsidR="00C770D6" w14:paraId="51CA2F01" w14:textId="77777777" w:rsidTr="00C770D6">
        <w:tc>
          <w:tcPr>
            <w:tcW w:w="1818" w:type="dxa"/>
          </w:tcPr>
          <w:p w14:paraId="2F558BAB" w14:textId="77777777" w:rsidR="00C770D6" w:rsidRDefault="00C770D6" w:rsidP="00635889">
            <w:pPr>
              <w:rPr>
                <w:rFonts w:cstheme="majorBidi"/>
                <w:sz w:val="24"/>
                <w:szCs w:val="24"/>
              </w:rPr>
            </w:pPr>
            <w:r w:rsidRPr="00FC5687">
              <w:rPr>
                <w:rFonts w:cstheme="majorBidi"/>
                <w:sz w:val="24"/>
                <w:szCs w:val="24"/>
              </w:rPr>
              <w:t xml:space="preserve">Kenneth </w:t>
            </w:r>
            <w:proofErr w:type="spellStart"/>
            <w:r w:rsidRPr="00FC5687">
              <w:rPr>
                <w:rFonts w:cstheme="majorBidi"/>
                <w:sz w:val="24"/>
                <w:szCs w:val="24"/>
              </w:rPr>
              <w:t>Offit</w:t>
            </w:r>
            <w:proofErr w:type="spellEnd"/>
          </w:p>
        </w:tc>
        <w:tc>
          <w:tcPr>
            <w:tcW w:w="1800" w:type="dxa"/>
          </w:tcPr>
          <w:p w14:paraId="7FDBEFAA" w14:textId="77777777" w:rsidR="00C770D6" w:rsidRDefault="00C770D6" w:rsidP="00635889">
            <w:pPr>
              <w:rPr>
                <w:rFonts w:cstheme="majorBidi"/>
                <w:sz w:val="24"/>
                <w:szCs w:val="24"/>
              </w:rPr>
            </w:pPr>
            <w:r>
              <w:rPr>
                <w:rFonts w:cstheme="majorBidi"/>
                <w:sz w:val="24"/>
                <w:szCs w:val="24"/>
              </w:rPr>
              <w:t>Memorial Sloan-Kettering Cancer Center</w:t>
            </w:r>
          </w:p>
        </w:tc>
        <w:tc>
          <w:tcPr>
            <w:tcW w:w="3484" w:type="dxa"/>
          </w:tcPr>
          <w:p w14:paraId="33865714" w14:textId="77777777" w:rsidR="00C770D6" w:rsidRDefault="00C770D6" w:rsidP="00635889">
            <w:pPr>
              <w:rPr>
                <w:rFonts w:cstheme="majorBidi"/>
                <w:sz w:val="24"/>
                <w:szCs w:val="24"/>
              </w:rPr>
            </w:pPr>
            <w:r w:rsidRPr="00FC5687">
              <w:rPr>
                <w:rFonts w:cstheme="majorBidi"/>
                <w:sz w:val="24"/>
                <w:szCs w:val="24"/>
              </w:rPr>
              <w:t>Breast and ovarian cancer, colon cancer, prostate cancer, and Lymphoma</w:t>
            </w:r>
          </w:p>
        </w:tc>
        <w:tc>
          <w:tcPr>
            <w:tcW w:w="2474" w:type="dxa"/>
          </w:tcPr>
          <w:p w14:paraId="43C759BB" w14:textId="77777777" w:rsidR="00C770D6" w:rsidRDefault="00C770D6" w:rsidP="00635889">
            <w:pPr>
              <w:rPr>
                <w:rFonts w:cstheme="majorBidi"/>
                <w:sz w:val="24"/>
                <w:szCs w:val="24"/>
              </w:rPr>
            </w:pPr>
          </w:p>
        </w:tc>
      </w:tr>
      <w:tr w:rsidR="00C770D6" w14:paraId="72221883" w14:textId="77777777" w:rsidTr="00C770D6">
        <w:tc>
          <w:tcPr>
            <w:tcW w:w="1818" w:type="dxa"/>
          </w:tcPr>
          <w:p w14:paraId="547A0B8F" w14:textId="77777777" w:rsidR="00C770D6" w:rsidRPr="00FC5687" w:rsidRDefault="00C770D6" w:rsidP="00635889">
            <w:pPr>
              <w:rPr>
                <w:rFonts w:cstheme="majorBidi"/>
                <w:sz w:val="24"/>
                <w:szCs w:val="24"/>
              </w:rPr>
            </w:pPr>
            <w:r w:rsidRPr="00FC5687">
              <w:rPr>
                <w:rFonts w:cstheme="majorBidi"/>
                <w:sz w:val="24"/>
                <w:szCs w:val="24"/>
              </w:rPr>
              <w:t xml:space="preserve">Harry </w:t>
            </w:r>
            <w:proofErr w:type="spellStart"/>
            <w:r w:rsidRPr="00FC5687">
              <w:rPr>
                <w:rFonts w:cstheme="majorBidi"/>
                <w:sz w:val="24"/>
                <w:szCs w:val="24"/>
              </w:rPr>
              <w:t>Ostrer</w:t>
            </w:r>
            <w:proofErr w:type="spellEnd"/>
          </w:p>
        </w:tc>
        <w:tc>
          <w:tcPr>
            <w:tcW w:w="1800" w:type="dxa"/>
          </w:tcPr>
          <w:p w14:paraId="691A50C0" w14:textId="77777777" w:rsidR="00C770D6" w:rsidRDefault="00C770D6" w:rsidP="00635889">
            <w:pPr>
              <w:rPr>
                <w:rFonts w:cstheme="majorBidi"/>
                <w:sz w:val="24"/>
                <w:szCs w:val="24"/>
              </w:rPr>
            </w:pPr>
            <w:r>
              <w:rPr>
                <w:rFonts w:cstheme="majorBidi"/>
                <w:sz w:val="24"/>
                <w:szCs w:val="24"/>
              </w:rPr>
              <w:t>Albert Einstein College of Medicine</w:t>
            </w:r>
          </w:p>
        </w:tc>
        <w:tc>
          <w:tcPr>
            <w:tcW w:w="3484" w:type="dxa"/>
          </w:tcPr>
          <w:p w14:paraId="3198D3DB" w14:textId="77777777" w:rsidR="00C770D6" w:rsidRPr="00FC5687" w:rsidRDefault="00C770D6" w:rsidP="00635889">
            <w:pPr>
              <w:rPr>
                <w:rFonts w:cstheme="majorBidi"/>
                <w:sz w:val="24"/>
                <w:szCs w:val="24"/>
              </w:rPr>
            </w:pPr>
            <w:r w:rsidRPr="00FC5687">
              <w:rPr>
                <w:rFonts w:cstheme="majorBidi"/>
                <w:sz w:val="24"/>
                <w:szCs w:val="24"/>
              </w:rPr>
              <w:t xml:space="preserve">Cancer genetics, metastasis genomics, </w:t>
            </w:r>
            <w:proofErr w:type="spellStart"/>
            <w:r w:rsidRPr="00FC5687">
              <w:rPr>
                <w:rFonts w:cstheme="majorBidi"/>
                <w:sz w:val="24"/>
                <w:szCs w:val="24"/>
              </w:rPr>
              <w:t>radiogenomics</w:t>
            </w:r>
            <w:proofErr w:type="spellEnd"/>
            <w:r w:rsidRPr="00FC5687">
              <w:rPr>
                <w:rFonts w:cstheme="majorBidi"/>
                <w:sz w:val="24"/>
                <w:szCs w:val="24"/>
              </w:rPr>
              <w:t>, rare disorders</w:t>
            </w:r>
          </w:p>
        </w:tc>
        <w:tc>
          <w:tcPr>
            <w:tcW w:w="2474" w:type="dxa"/>
          </w:tcPr>
          <w:p w14:paraId="4F0446EF" w14:textId="77777777" w:rsidR="00C770D6" w:rsidRDefault="00C770D6" w:rsidP="00635889">
            <w:pPr>
              <w:rPr>
                <w:rFonts w:cstheme="majorBidi"/>
                <w:sz w:val="24"/>
                <w:szCs w:val="24"/>
              </w:rPr>
            </w:pPr>
          </w:p>
        </w:tc>
      </w:tr>
      <w:tr w:rsidR="00C770D6" w14:paraId="6DCEDC63" w14:textId="77777777" w:rsidTr="00C770D6">
        <w:tc>
          <w:tcPr>
            <w:tcW w:w="1818" w:type="dxa"/>
          </w:tcPr>
          <w:p w14:paraId="211343B1" w14:textId="77777777" w:rsidR="00C770D6" w:rsidRPr="00FC5687" w:rsidRDefault="00C770D6" w:rsidP="00635889">
            <w:pPr>
              <w:rPr>
                <w:rFonts w:cstheme="majorBidi"/>
                <w:sz w:val="24"/>
                <w:szCs w:val="24"/>
              </w:rPr>
            </w:pPr>
            <w:r w:rsidRPr="00FC5687">
              <w:rPr>
                <w:rFonts w:cstheme="majorBidi"/>
                <w:sz w:val="24"/>
                <w:szCs w:val="24"/>
              </w:rPr>
              <w:t xml:space="preserve">Laurie </w:t>
            </w:r>
            <w:proofErr w:type="spellStart"/>
            <w:r w:rsidRPr="00FC5687">
              <w:rPr>
                <w:rFonts w:cstheme="majorBidi"/>
                <w:sz w:val="24"/>
                <w:szCs w:val="24"/>
              </w:rPr>
              <w:t>Ozelius</w:t>
            </w:r>
            <w:proofErr w:type="spellEnd"/>
          </w:p>
        </w:tc>
        <w:tc>
          <w:tcPr>
            <w:tcW w:w="1800" w:type="dxa"/>
          </w:tcPr>
          <w:p w14:paraId="7B189891" w14:textId="77777777" w:rsidR="00C770D6" w:rsidRDefault="00C770D6" w:rsidP="00635889">
            <w:pPr>
              <w:rPr>
                <w:rFonts w:cstheme="majorBidi"/>
                <w:sz w:val="24"/>
                <w:szCs w:val="24"/>
              </w:rPr>
            </w:pPr>
            <w:proofErr w:type="spellStart"/>
            <w:r>
              <w:rPr>
                <w:rFonts w:cstheme="majorBidi"/>
                <w:sz w:val="24"/>
                <w:szCs w:val="24"/>
              </w:rPr>
              <w:t>Ichan</w:t>
            </w:r>
            <w:proofErr w:type="spellEnd"/>
            <w:r>
              <w:rPr>
                <w:rFonts w:cstheme="majorBidi"/>
                <w:sz w:val="24"/>
                <w:szCs w:val="24"/>
              </w:rPr>
              <w:t xml:space="preserve"> School of Medicine at Mount Sinai</w:t>
            </w:r>
          </w:p>
        </w:tc>
        <w:tc>
          <w:tcPr>
            <w:tcW w:w="3484" w:type="dxa"/>
          </w:tcPr>
          <w:p w14:paraId="79A1E683" w14:textId="77777777" w:rsidR="00C770D6" w:rsidRPr="00FC5687" w:rsidRDefault="00C770D6" w:rsidP="00635889">
            <w:pPr>
              <w:rPr>
                <w:rFonts w:cstheme="majorBidi"/>
                <w:sz w:val="24"/>
                <w:szCs w:val="24"/>
              </w:rPr>
            </w:pPr>
            <w:r w:rsidRPr="00FC5687">
              <w:rPr>
                <w:rFonts w:cstheme="majorBidi"/>
                <w:sz w:val="24"/>
                <w:szCs w:val="24"/>
              </w:rPr>
              <w:t xml:space="preserve">Dystonia; Typical and Atypical </w:t>
            </w:r>
            <w:proofErr w:type="spellStart"/>
            <w:r w:rsidRPr="00FC5687">
              <w:rPr>
                <w:rFonts w:cstheme="majorBidi"/>
                <w:sz w:val="24"/>
                <w:szCs w:val="24"/>
              </w:rPr>
              <w:t>Parkisonian</w:t>
            </w:r>
            <w:proofErr w:type="spellEnd"/>
            <w:r w:rsidRPr="00FC5687">
              <w:rPr>
                <w:rFonts w:cstheme="majorBidi"/>
                <w:sz w:val="24"/>
                <w:szCs w:val="24"/>
              </w:rPr>
              <w:t xml:space="preserve"> Syndromes: Parkinson Disease (PD), PD with dementia, Progressive </w:t>
            </w:r>
            <w:proofErr w:type="spellStart"/>
            <w:r w:rsidRPr="00FC5687">
              <w:rPr>
                <w:rFonts w:cstheme="majorBidi"/>
                <w:sz w:val="24"/>
                <w:szCs w:val="24"/>
              </w:rPr>
              <w:t>supranuclear</w:t>
            </w:r>
            <w:proofErr w:type="spellEnd"/>
            <w:r w:rsidRPr="00FC5687">
              <w:rPr>
                <w:rFonts w:cstheme="majorBidi"/>
                <w:sz w:val="24"/>
                <w:szCs w:val="24"/>
              </w:rPr>
              <w:t xml:space="preserve"> palsy, </w:t>
            </w:r>
            <w:proofErr w:type="spellStart"/>
            <w:r w:rsidRPr="00FC5687">
              <w:rPr>
                <w:rFonts w:cstheme="majorBidi"/>
                <w:sz w:val="24"/>
                <w:szCs w:val="24"/>
              </w:rPr>
              <w:t>Corticobasal</w:t>
            </w:r>
            <w:proofErr w:type="spellEnd"/>
            <w:r w:rsidRPr="00FC5687">
              <w:rPr>
                <w:rFonts w:cstheme="majorBidi"/>
                <w:sz w:val="24"/>
                <w:szCs w:val="24"/>
              </w:rPr>
              <w:t xml:space="preserve"> degeneration, multiple system atrophy, diffuse </w:t>
            </w:r>
            <w:proofErr w:type="spellStart"/>
            <w:r w:rsidRPr="00FC5687">
              <w:rPr>
                <w:rFonts w:cstheme="majorBidi"/>
                <w:sz w:val="24"/>
                <w:szCs w:val="24"/>
              </w:rPr>
              <w:t>Lewy</w:t>
            </w:r>
            <w:proofErr w:type="spellEnd"/>
            <w:r w:rsidRPr="00FC5687">
              <w:rPr>
                <w:rFonts w:cstheme="majorBidi"/>
                <w:sz w:val="24"/>
                <w:szCs w:val="24"/>
              </w:rPr>
              <w:t xml:space="preserve"> body disease; Essential Tremor; </w:t>
            </w:r>
            <w:proofErr w:type="spellStart"/>
            <w:r w:rsidRPr="00FC5687">
              <w:rPr>
                <w:rFonts w:cstheme="majorBidi"/>
                <w:sz w:val="24"/>
                <w:szCs w:val="24"/>
              </w:rPr>
              <w:t>Frontotemporal</w:t>
            </w:r>
            <w:proofErr w:type="spellEnd"/>
            <w:r w:rsidRPr="00FC5687">
              <w:rPr>
                <w:rFonts w:cstheme="majorBidi"/>
                <w:sz w:val="24"/>
                <w:szCs w:val="24"/>
              </w:rPr>
              <w:t xml:space="preserve"> dementia (FTD); and Amyotrophic Lateral Sclerosis (ALS).</w:t>
            </w:r>
          </w:p>
        </w:tc>
        <w:tc>
          <w:tcPr>
            <w:tcW w:w="2474" w:type="dxa"/>
          </w:tcPr>
          <w:p w14:paraId="531528E6" w14:textId="77777777" w:rsidR="00C770D6" w:rsidRDefault="00C770D6" w:rsidP="00635889">
            <w:pPr>
              <w:rPr>
                <w:rFonts w:cstheme="majorBidi"/>
                <w:sz w:val="24"/>
                <w:szCs w:val="24"/>
              </w:rPr>
            </w:pPr>
          </w:p>
        </w:tc>
      </w:tr>
      <w:tr w:rsidR="00C770D6" w14:paraId="2BBA782D" w14:textId="77777777" w:rsidTr="00C770D6">
        <w:tc>
          <w:tcPr>
            <w:tcW w:w="1818" w:type="dxa"/>
          </w:tcPr>
          <w:p w14:paraId="33E9C431" w14:textId="77777777" w:rsidR="00C770D6" w:rsidRPr="00FC5687" w:rsidRDefault="00C770D6" w:rsidP="00635889">
            <w:pPr>
              <w:rPr>
                <w:rFonts w:cstheme="majorBidi"/>
                <w:sz w:val="24"/>
                <w:szCs w:val="24"/>
              </w:rPr>
            </w:pPr>
            <w:proofErr w:type="spellStart"/>
            <w:r w:rsidRPr="00FC5687">
              <w:rPr>
                <w:rFonts w:cstheme="majorBidi"/>
                <w:sz w:val="24"/>
                <w:szCs w:val="24"/>
              </w:rPr>
              <w:t>Itsik</w:t>
            </w:r>
            <w:proofErr w:type="spellEnd"/>
            <w:r w:rsidRPr="00FC5687">
              <w:rPr>
                <w:rFonts w:cstheme="majorBidi"/>
                <w:sz w:val="24"/>
                <w:szCs w:val="24"/>
              </w:rPr>
              <w:t xml:space="preserve"> </w:t>
            </w:r>
            <w:proofErr w:type="spellStart"/>
            <w:r w:rsidRPr="00FC5687">
              <w:rPr>
                <w:rFonts w:cstheme="majorBidi"/>
                <w:sz w:val="24"/>
                <w:szCs w:val="24"/>
              </w:rPr>
              <w:t>Pe’er</w:t>
            </w:r>
            <w:proofErr w:type="spellEnd"/>
          </w:p>
        </w:tc>
        <w:tc>
          <w:tcPr>
            <w:tcW w:w="1800" w:type="dxa"/>
          </w:tcPr>
          <w:p w14:paraId="2A1859F4" w14:textId="77777777" w:rsidR="00C770D6" w:rsidRDefault="00C770D6" w:rsidP="00635889">
            <w:pPr>
              <w:rPr>
                <w:rFonts w:cstheme="majorBidi"/>
                <w:sz w:val="24"/>
                <w:szCs w:val="24"/>
              </w:rPr>
            </w:pPr>
            <w:r>
              <w:rPr>
                <w:rFonts w:cstheme="majorBidi"/>
                <w:sz w:val="24"/>
                <w:szCs w:val="24"/>
              </w:rPr>
              <w:t>Columbia University</w:t>
            </w:r>
          </w:p>
        </w:tc>
        <w:tc>
          <w:tcPr>
            <w:tcW w:w="3484" w:type="dxa"/>
          </w:tcPr>
          <w:p w14:paraId="033FAA6E" w14:textId="77777777" w:rsidR="00C770D6" w:rsidRPr="00FC5687" w:rsidRDefault="00C770D6" w:rsidP="00635889">
            <w:pPr>
              <w:rPr>
                <w:rFonts w:cstheme="majorBidi"/>
                <w:sz w:val="24"/>
                <w:szCs w:val="24"/>
              </w:rPr>
            </w:pPr>
          </w:p>
        </w:tc>
        <w:tc>
          <w:tcPr>
            <w:tcW w:w="2474" w:type="dxa"/>
          </w:tcPr>
          <w:p w14:paraId="3C79E7B2" w14:textId="77777777" w:rsidR="00C770D6" w:rsidRDefault="00C770D6" w:rsidP="00B37A29">
            <w:pPr>
              <w:rPr>
                <w:rFonts w:cstheme="majorBidi"/>
                <w:sz w:val="24"/>
                <w:szCs w:val="24"/>
              </w:rPr>
            </w:pPr>
            <w:r>
              <w:rPr>
                <w:rFonts w:cstheme="majorBidi"/>
                <w:sz w:val="24"/>
                <w:szCs w:val="24"/>
              </w:rPr>
              <w:t xml:space="preserve">Population genetics, demographic </w:t>
            </w:r>
            <w:r w:rsidR="00B37A29">
              <w:rPr>
                <w:rFonts w:cstheme="majorBidi"/>
                <w:sz w:val="24"/>
                <w:szCs w:val="24"/>
              </w:rPr>
              <w:t>inference</w:t>
            </w:r>
            <w:r>
              <w:rPr>
                <w:rFonts w:cstheme="majorBidi"/>
                <w:sz w:val="24"/>
                <w:szCs w:val="24"/>
              </w:rPr>
              <w:t>, statistical genetics</w:t>
            </w:r>
            <w:r w:rsidR="008A1BA0">
              <w:rPr>
                <w:rFonts w:cstheme="majorBidi"/>
                <w:sz w:val="24"/>
                <w:szCs w:val="24"/>
              </w:rPr>
              <w:t>, identical-by-descent segments</w:t>
            </w:r>
          </w:p>
        </w:tc>
      </w:tr>
      <w:tr w:rsidR="008A1BA0" w14:paraId="496F4E63" w14:textId="77777777" w:rsidTr="00C770D6">
        <w:tc>
          <w:tcPr>
            <w:tcW w:w="1818" w:type="dxa"/>
          </w:tcPr>
          <w:p w14:paraId="2BA11F08" w14:textId="77777777" w:rsidR="008A1BA0" w:rsidRPr="00FC5687" w:rsidRDefault="008A1BA0" w:rsidP="00635889">
            <w:pPr>
              <w:rPr>
                <w:rFonts w:cstheme="majorBidi"/>
                <w:sz w:val="24"/>
                <w:szCs w:val="24"/>
              </w:rPr>
            </w:pPr>
            <w:r w:rsidRPr="00FC5687">
              <w:rPr>
                <w:rFonts w:cstheme="majorBidi"/>
                <w:sz w:val="24"/>
                <w:szCs w:val="24"/>
              </w:rPr>
              <w:t>Inga Peter</w:t>
            </w:r>
          </w:p>
        </w:tc>
        <w:tc>
          <w:tcPr>
            <w:tcW w:w="1800" w:type="dxa"/>
          </w:tcPr>
          <w:p w14:paraId="5F3030B9" w14:textId="77777777" w:rsidR="008A1BA0" w:rsidRDefault="008A1BA0" w:rsidP="00635889">
            <w:pPr>
              <w:rPr>
                <w:rFonts w:cstheme="majorBidi"/>
                <w:sz w:val="24"/>
                <w:szCs w:val="24"/>
              </w:rPr>
            </w:pPr>
            <w:proofErr w:type="spellStart"/>
            <w:r>
              <w:rPr>
                <w:rFonts w:cstheme="majorBidi"/>
                <w:sz w:val="24"/>
                <w:szCs w:val="24"/>
              </w:rPr>
              <w:t>Ichan</w:t>
            </w:r>
            <w:proofErr w:type="spellEnd"/>
            <w:r>
              <w:rPr>
                <w:rFonts w:cstheme="majorBidi"/>
                <w:sz w:val="24"/>
                <w:szCs w:val="24"/>
              </w:rPr>
              <w:t xml:space="preserve"> School of Medicine at Mount Sinai</w:t>
            </w:r>
          </w:p>
        </w:tc>
        <w:tc>
          <w:tcPr>
            <w:tcW w:w="3484" w:type="dxa"/>
          </w:tcPr>
          <w:p w14:paraId="56CA1999" w14:textId="77777777" w:rsidR="008A1BA0" w:rsidRPr="00FC5687" w:rsidRDefault="008A1BA0" w:rsidP="00635889">
            <w:pPr>
              <w:rPr>
                <w:rFonts w:cstheme="majorBidi"/>
                <w:sz w:val="24"/>
                <w:szCs w:val="24"/>
              </w:rPr>
            </w:pPr>
            <w:r w:rsidRPr="00FC5687">
              <w:rPr>
                <w:rFonts w:cstheme="majorBidi"/>
                <w:sz w:val="24"/>
                <w:szCs w:val="24"/>
              </w:rPr>
              <w:t>Inflammatory Bowel Disease</w:t>
            </w:r>
          </w:p>
        </w:tc>
        <w:tc>
          <w:tcPr>
            <w:tcW w:w="2474" w:type="dxa"/>
          </w:tcPr>
          <w:p w14:paraId="2244EE1B" w14:textId="77777777" w:rsidR="008A1BA0" w:rsidRDefault="008A1BA0" w:rsidP="008A1BA0">
            <w:pPr>
              <w:rPr>
                <w:rFonts w:cstheme="majorBidi"/>
                <w:sz w:val="24"/>
                <w:szCs w:val="24"/>
              </w:rPr>
            </w:pPr>
          </w:p>
        </w:tc>
      </w:tr>
    </w:tbl>
    <w:p w14:paraId="4E1EF7DE" w14:textId="77777777" w:rsidR="00C770D6" w:rsidRDefault="00C770D6" w:rsidP="00635889">
      <w:pPr>
        <w:rPr>
          <w:rFonts w:cstheme="majorBidi"/>
          <w:sz w:val="24"/>
          <w:szCs w:val="24"/>
        </w:rPr>
      </w:pPr>
    </w:p>
    <w:p w14:paraId="1517D991" w14:textId="77777777" w:rsidR="00635889" w:rsidRPr="00FC5687" w:rsidRDefault="00635889">
      <w:pPr>
        <w:rPr>
          <w:rFonts w:cstheme="majorBidi"/>
          <w:sz w:val="24"/>
          <w:szCs w:val="24"/>
        </w:rPr>
      </w:pPr>
    </w:p>
    <w:p w14:paraId="4F0241F4" w14:textId="77777777" w:rsidR="00313BE9" w:rsidRDefault="00313BE9">
      <w:pPr>
        <w:rPr>
          <w:rFonts w:cstheme="majorBidi"/>
          <w:b/>
          <w:bCs/>
          <w:sz w:val="28"/>
          <w:szCs w:val="28"/>
        </w:rPr>
      </w:pPr>
      <w:r>
        <w:rPr>
          <w:rFonts w:cstheme="majorBidi"/>
          <w:b/>
          <w:bCs/>
          <w:sz w:val="28"/>
          <w:szCs w:val="28"/>
        </w:rPr>
        <w:br w:type="page"/>
      </w:r>
    </w:p>
    <w:p w14:paraId="24A902E9" w14:textId="77777777" w:rsidR="00784391" w:rsidRPr="00E414AC" w:rsidRDefault="00784391" w:rsidP="00E414AC">
      <w:pPr>
        <w:jc w:val="center"/>
        <w:rPr>
          <w:rFonts w:cstheme="majorBidi"/>
          <w:b/>
          <w:bCs/>
          <w:sz w:val="28"/>
          <w:szCs w:val="28"/>
        </w:rPr>
      </w:pPr>
      <w:r w:rsidRPr="00E414AC">
        <w:rPr>
          <w:rFonts w:cstheme="majorBidi"/>
          <w:b/>
          <w:bCs/>
          <w:sz w:val="28"/>
          <w:szCs w:val="28"/>
        </w:rPr>
        <w:lastRenderedPageBreak/>
        <w:t xml:space="preserve">SCHEDULE </w:t>
      </w:r>
      <w:r w:rsidR="00253EE9">
        <w:rPr>
          <w:rFonts w:cstheme="majorBidi"/>
          <w:b/>
          <w:bCs/>
          <w:sz w:val="28"/>
          <w:szCs w:val="28"/>
        </w:rPr>
        <w:t>2</w:t>
      </w:r>
    </w:p>
    <w:p w14:paraId="02E17340" w14:textId="77777777" w:rsidR="00784391" w:rsidRPr="00E414AC" w:rsidRDefault="00784391" w:rsidP="00E414AC">
      <w:pPr>
        <w:jc w:val="center"/>
        <w:rPr>
          <w:rFonts w:cstheme="majorBidi"/>
          <w:b/>
          <w:bCs/>
          <w:sz w:val="28"/>
          <w:szCs w:val="28"/>
        </w:rPr>
      </w:pPr>
      <w:r w:rsidRPr="00E414AC">
        <w:rPr>
          <w:rFonts w:cstheme="majorBidi"/>
          <w:b/>
          <w:bCs/>
          <w:sz w:val="28"/>
          <w:szCs w:val="28"/>
        </w:rPr>
        <w:t>Publications Policy</w:t>
      </w:r>
    </w:p>
    <w:p w14:paraId="1E0F001F" w14:textId="77777777" w:rsidR="00784391" w:rsidRPr="00784391" w:rsidRDefault="00784391" w:rsidP="003736A7">
      <w:pPr>
        <w:rPr>
          <w:rFonts w:cstheme="majorBidi"/>
          <w:sz w:val="24"/>
          <w:szCs w:val="24"/>
        </w:rPr>
      </w:pPr>
      <w:r w:rsidRPr="00784391">
        <w:rPr>
          <w:rFonts w:cstheme="majorBidi"/>
          <w:sz w:val="24"/>
          <w:szCs w:val="24"/>
        </w:rPr>
        <w:t xml:space="preserve">The primary purpose of the </w:t>
      </w:r>
      <w:r w:rsidR="00967F9B">
        <w:rPr>
          <w:rFonts w:cstheme="majorBidi"/>
          <w:sz w:val="24"/>
          <w:szCs w:val="24"/>
        </w:rPr>
        <w:t>Ashkenazi Genome Consortium</w:t>
      </w:r>
      <w:r w:rsidRPr="00784391">
        <w:rPr>
          <w:rFonts w:cstheme="majorBidi"/>
          <w:sz w:val="24"/>
          <w:szCs w:val="24"/>
        </w:rPr>
        <w:t xml:space="preserve"> is to accel</w:t>
      </w:r>
      <w:r w:rsidR="00D75A2D">
        <w:rPr>
          <w:rFonts w:cstheme="majorBidi"/>
          <w:sz w:val="24"/>
          <w:szCs w:val="24"/>
        </w:rPr>
        <w:t>erate efforts to identify genomic</w:t>
      </w:r>
      <w:r w:rsidRPr="00784391">
        <w:rPr>
          <w:rFonts w:cstheme="majorBidi"/>
          <w:sz w:val="24"/>
          <w:szCs w:val="24"/>
        </w:rPr>
        <w:t xml:space="preserve"> variants influencing human morbidity </w:t>
      </w:r>
      <w:r w:rsidR="00967F9B">
        <w:rPr>
          <w:rFonts w:cstheme="majorBidi"/>
          <w:sz w:val="24"/>
          <w:szCs w:val="24"/>
        </w:rPr>
        <w:t xml:space="preserve">in the Ashkenazi Jewish </w:t>
      </w:r>
      <w:r w:rsidR="00D75A2D">
        <w:rPr>
          <w:rFonts w:cstheme="majorBidi"/>
          <w:sz w:val="24"/>
          <w:szCs w:val="24"/>
        </w:rPr>
        <w:t>and</w:t>
      </w:r>
      <w:r w:rsidR="00967F9B">
        <w:rPr>
          <w:rFonts w:cstheme="majorBidi"/>
          <w:sz w:val="24"/>
          <w:szCs w:val="24"/>
        </w:rPr>
        <w:t xml:space="preserve"> other population</w:t>
      </w:r>
      <w:r w:rsidR="00D75A2D">
        <w:rPr>
          <w:rFonts w:cstheme="majorBidi"/>
          <w:sz w:val="24"/>
          <w:szCs w:val="24"/>
        </w:rPr>
        <w:t>s. This goal is</w:t>
      </w:r>
      <w:r w:rsidR="00967F9B">
        <w:rPr>
          <w:rFonts w:cstheme="majorBidi"/>
          <w:sz w:val="24"/>
          <w:szCs w:val="24"/>
        </w:rPr>
        <w:t xml:space="preserve"> implemented</w:t>
      </w:r>
      <w:r w:rsidRPr="00784391">
        <w:rPr>
          <w:rFonts w:cstheme="majorBidi"/>
          <w:sz w:val="24"/>
          <w:szCs w:val="24"/>
        </w:rPr>
        <w:t xml:space="preserve"> through </w:t>
      </w:r>
      <w:r w:rsidR="00967F9B">
        <w:rPr>
          <w:rFonts w:cstheme="majorBidi"/>
          <w:sz w:val="24"/>
          <w:szCs w:val="24"/>
        </w:rPr>
        <w:t xml:space="preserve">large-scale genome sequencing of a </w:t>
      </w:r>
      <w:r w:rsidR="002B5C8F">
        <w:rPr>
          <w:rFonts w:cstheme="majorBidi"/>
          <w:sz w:val="24"/>
          <w:szCs w:val="24"/>
        </w:rPr>
        <w:t>cohort</w:t>
      </w:r>
      <w:r w:rsidR="00967F9B">
        <w:rPr>
          <w:rFonts w:cstheme="majorBidi"/>
          <w:sz w:val="24"/>
          <w:szCs w:val="24"/>
        </w:rPr>
        <w:t xml:space="preserve"> of control individuals. </w:t>
      </w:r>
      <w:r w:rsidRPr="00784391">
        <w:rPr>
          <w:rFonts w:cstheme="majorBidi"/>
          <w:sz w:val="24"/>
          <w:szCs w:val="24"/>
        </w:rPr>
        <w:t xml:space="preserve">Additional objectives include </w:t>
      </w:r>
      <w:r w:rsidR="00E63714">
        <w:rPr>
          <w:rFonts w:cstheme="majorBidi"/>
          <w:sz w:val="24"/>
          <w:szCs w:val="24"/>
        </w:rPr>
        <w:t xml:space="preserve">addressing questions in population genetics and evolutionary biology as well as </w:t>
      </w:r>
      <w:r w:rsidRPr="00784391">
        <w:rPr>
          <w:rFonts w:cstheme="majorBidi"/>
          <w:sz w:val="24"/>
          <w:szCs w:val="24"/>
        </w:rPr>
        <w:t xml:space="preserve">the development </w:t>
      </w:r>
      <w:r w:rsidR="00967F9B">
        <w:rPr>
          <w:rFonts w:cstheme="majorBidi"/>
          <w:sz w:val="24"/>
          <w:szCs w:val="24"/>
        </w:rPr>
        <w:t xml:space="preserve">of methods </w:t>
      </w:r>
      <w:r w:rsidRPr="00784391">
        <w:rPr>
          <w:rFonts w:cstheme="majorBidi"/>
          <w:sz w:val="24"/>
          <w:szCs w:val="24"/>
        </w:rPr>
        <w:t xml:space="preserve">appropriate to </w:t>
      </w:r>
      <w:r w:rsidR="00D75A2D">
        <w:rPr>
          <w:rFonts w:cstheme="majorBidi"/>
          <w:sz w:val="24"/>
          <w:szCs w:val="24"/>
        </w:rPr>
        <w:t xml:space="preserve">achieve the goals </w:t>
      </w:r>
      <w:r w:rsidRPr="00784391">
        <w:rPr>
          <w:rFonts w:cstheme="majorBidi"/>
          <w:sz w:val="24"/>
          <w:szCs w:val="24"/>
        </w:rPr>
        <w:t>of the project</w:t>
      </w:r>
      <w:r w:rsidR="00D75A2D">
        <w:rPr>
          <w:rFonts w:cstheme="majorBidi"/>
          <w:sz w:val="24"/>
          <w:szCs w:val="24"/>
        </w:rPr>
        <w:t>.</w:t>
      </w:r>
      <w:r w:rsidR="00E63714">
        <w:rPr>
          <w:rFonts w:cstheme="majorBidi"/>
          <w:sz w:val="24"/>
          <w:szCs w:val="24"/>
        </w:rPr>
        <w:t xml:space="preserve"> The data may also be used to study the population </w:t>
      </w:r>
      <w:r w:rsidR="008117E5">
        <w:rPr>
          <w:rFonts w:cstheme="majorBidi"/>
          <w:sz w:val="24"/>
          <w:szCs w:val="24"/>
        </w:rPr>
        <w:t>history</w:t>
      </w:r>
      <w:r w:rsidR="00E63714">
        <w:rPr>
          <w:rFonts w:cstheme="majorBidi"/>
          <w:sz w:val="24"/>
          <w:szCs w:val="24"/>
        </w:rPr>
        <w:t xml:space="preserve"> of </w:t>
      </w:r>
      <w:r w:rsidR="008117E5">
        <w:rPr>
          <w:rFonts w:cstheme="majorBidi"/>
          <w:sz w:val="24"/>
          <w:szCs w:val="24"/>
        </w:rPr>
        <w:t>the Ashkenazi Jewish</w:t>
      </w:r>
      <w:r w:rsidR="00E63714">
        <w:rPr>
          <w:rFonts w:cstheme="majorBidi"/>
          <w:sz w:val="24"/>
          <w:szCs w:val="24"/>
        </w:rPr>
        <w:t xml:space="preserve"> </w:t>
      </w:r>
      <w:r w:rsidR="009A42C1">
        <w:rPr>
          <w:rFonts w:cstheme="majorBidi"/>
          <w:sz w:val="24"/>
          <w:szCs w:val="24"/>
        </w:rPr>
        <w:t xml:space="preserve">population </w:t>
      </w:r>
      <w:r w:rsidR="00A607D9">
        <w:rPr>
          <w:rFonts w:cstheme="majorBidi"/>
          <w:sz w:val="24"/>
          <w:szCs w:val="24"/>
        </w:rPr>
        <w:t>as well as</w:t>
      </w:r>
      <w:r w:rsidR="00E63714">
        <w:rPr>
          <w:rFonts w:cstheme="majorBidi"/>
          <w:sz w:val="24"/>
          <w:szCs w:val="24"/>
        </w:rPr>
        <w:t xml:space="preserve"> other</w:t>
      </w:r>
      <w:r w:rsidR="009A42C1">
        <w:rPr>
          <w:rFonts w:cstheme="majorBidi"/>
          <w:sz w:val="24"/>
          <w:szCs w:val="24"/>
        </w:rPr>
        <w:t>,</w:t>
      </w:r>
      <w:r w:rsidR="00E63714">
        <w:rPr>
          <w:rFonts w:cstheme="majorBidi"/>
          <w:sz w:val="24"/>
          <w:szCs w:val="24"/>
        </w:rPr>
        <w:t xml:space="preserve"> Jewish and non-Jewish populations.</w:t>
      </w:r>
    </w:p>
    <w:p w14:paraId="40845CA3" w14:textId="77777777" w:rsidR="00784391" w:rsidRPr="00784391" w:rsidRDefault="00784391" w:rsidP="000026ED">
      <w:pPr>
        <w:rPr>
          <w:rFonts w:cstheme="majorBidi"/>
          <w:sz w:val="24"/>
          <w:szCs w:val="24"/>
        </w:rPr>
      </w:pPr>
      <w:r w:rsidRPr="00784391">
        <w:rPr>
          <w:rFonts w:cstheme="majorBidi"/>
          <w:sz w:val="24"/>
          <w:szCs w:val="24"/>
        </w:rPr>
        <w:t>The Consortium anticipates that data generated from the</w:t>
      </w:r>
      <w:r w:rsidR="00E63714">
        <w:rPr>
          <w:rFonts w:cstheme="majorBidi"/>
          <w:sz w:val="24"/>
          <w:szCs w:val="24"/>
        </w:rPr>
        <w:t xml:space="preserve"> project will be used by others. Potential</w:t>
      </w:r>
      <w:r w:rsidRPr="00784391">
        <w:rPr>
          <w:rFonts w:cstheme="majorBidi"/>
          <w:sz w:val="24"/>
          <w:szCs w:val="24"/>
        </w:rPr>
        <w:t xml:space="preserve"> </w:t>
      </w:r>
      <w:r w:rsidR="00E63714">
        <w:rPr>
          <w:rFonts w:cstheme="majorBidi"/>
          <w:sz w:val="24"/>
          <w:szCs w:val="24"/>
        </w:rPr>
        <w:t>applications include: association studies in diseases beyond the scope of the consortium members; clinical evaluation and prioritization of genomic variants; imputation of large cohorts of sparsely genotyped individuals for the purpose of studies in medical and evolutionary genetics; development</w:t>
      </w:r>
      <w:r w:rsidRPr="00784391">
        <w:rPr>
          <w:rFonts w:cstheme="majorBidi"/>
          <w:sz w:val="24"/>
          <w:szCs w:val="24"/>
        </w:rPr>
        <w:t xml:space="preserve"> </w:t>
      </w:r>
      <w:r w:rsidR="00E63714">
        <w:rPr>
          <w:rFonts w:cstheme="majorBidi"/>
          <w:sz w:val="24"/>
          <w:szCs w:val="24"/>
        </w:rPr>
        <w:t xml:space="preserve">of new analytical methods; </w:t>
      </w:r>
      <w:r w:rsidR="007610CE">
        <w:rPr>
          <w:rFonts w:cstheme="majorBidi"/>
          <w:sz w:val="24"/>
          <w:szCs w:val="24"/>
        </w:rPr>
        <w:t xml:space="preserve">and </w:t>
      </w:r>
      <w:r w:rsidR="002B4A4D">
        <w:rPr>
          <w:rFonts w:cstheme="majorBidi"/>
          <w:sz w:val="24"/>
          <w:szCs w:val="24"/>
        </w:rPr>
        <w:t xml:space="preserve">study of </w:t>
      </w:r>
      <w:r w:rsidRPr="00784391">
        <w:rPr>
          <w:rFonts w:cstheme="majorBidi"/>
          <w:sz w:val="24"/>
          <w:szCs w:val="24"/>
        </w:rPr>
        <w:t xml:space="preserve">patterns of polymorphism </w:t>
      </w:r>
      <w:r w:rsidR="00E63714">
        <w:rPr>
          <w:rFonts w:cstheme="majorBidi"/>
          <w:sz w:val="24"/>
          <w:szCs w:val="24"/>
        </w:rPr>
        <w:t xml:space="preserve">in the Ashkenazi Jewish and other populations and their interrelation with </w:t>
      </w:r>
      <w:r w:rsidR="000026ED">
        <w:rPr>
          <w:rFonts w:cstheme="majorBidi"/>
          <w:sz w:val="24"/>
          <w:szCs w:val="24"/>
        </w:rPr>
        <w:t>demographic</w:t>
      </w:r>
      <w:r w:rsidR="00567420">
        <w:rPr>
          <w:rFonts w:cstheme="majorBidi"/>
          <w:sz w:val="24"/>
          <w:szCs w:val="24"/>
        </w:rPr>
        <w:t xml:space="preserve"> and evolutionary parameters.</w:t>
      </w:r>
    </w:p>
    <w:p w14:paraId="30E2AC9C" w14:textId="77777777" w:rsidR="00784391" w:rsidRPr="00784391" w:rsidRDefault="00784391" w:rsidP="002A5CBF">
      <w:pPr>
        <w:rPr>
          <w:rFonts w:cstheme="majorBidi"/>
          <w:sz w:val="24"/>
          <w:szCs w:val="24"/>
        </w:rPr>
      </w:pPr>
      <w:r w:rsidRPr="00784391">
        <w:rPr>
          <w:rFonts w:cstheme="majorBidi"/>
          <w:sz w:val="24"/>
          <w:szCs w:val="24"/>
        </w:rPr>
        <w:t xml:space="preserve">Authors who use data from the project must acknowledge </w:t>
      </w:r>
      <w:r w:rsidR="00567420">
        <w:rPr>
          <w:rFonts w:cstheme="majorBidi"/>
          <w:sz w:val="24"/>
          <w:szCs w:val="24"/>
        </w:rPr>
        <w:t>TAGC</w:t>
      </w:r>
      <w:r w:rsidRPr="00784391">
        <w:rPr>
          <w:rFonts w:cstheme="majorBidi"/>
          <w:sz w:val="24"/>
          <w:szCs w:val="24"/>
        </w:rPr>
        <w:t xml:space="preserve"> using the following wording "This study </w:t>
      </w:r>
      <w:r w:rsidR="002A5CBF">
        <w:rPr>
          <w:rFonts w:cstheme="majorBidi"/>
          <w:sz w:val="24"/>
          <w:szCs w:val="24"/>
        </w:rPr>
        <w:t>makes use of data generated by T</w:t>
      </w:r>
      <w:r w:rsidRPr="00784391">
        <w:rPr>
          <w:rFonts w:cstheme="majorBidi"/>
          <w:sz w:val="24"/>
          <w:szCs w:val="24"/>
        </w:rPr>
        <w:t xml:space="preserve">he </w:t>
      </w:r>
      <w:r w:rsidR="00567420">
        <w:rPr>
          <w:rFonts w:cstheme="majorBidi"/>
          <w:sz w:val="24"/>
          <w:szCs w:val="24"/>
        </w:rPr>
        <w:t>Ashkenazi Genome</w:t>
      </w:r>
      <w:r w:rsidRPr="00784391">
        <w:rPr>
          <w:rFonts w:cstheme="majorBidi"/>
          <w:sz w:val="24"/>
          <w:szCs w:val="24"/>
        </w:rPr>
        <w:t xml:space="preserve"> Consortium.</w:t>
      </w:r>
      <w:r w:rsidR="00242C70">
        <w:rPr>
          <w:rFonts w:cstheme="majorBidi"/>
          <w:sz w:val="24"/>
          <w:szCs w:val="24"/>
        </w:rPr>
        <w:t>”</w:t>
      </w:r>
      <w:r w:rsidRPr="00784391">
        <w:rPr>
          <w:rFonts w:cstheme="majorBidi"/>
          <w:sz w:val="24"/>
          <w:szCs w:val="24"/>
        </w:rPr>
        <w:t xml:space="preserve"> </w:t>
      </w:r>
    </w:p>
    <w:p w14:paraId="0304BCE2" w14:textId="77777777" w:rsidR="00784391" w:rsidRPr="00784391" w:rsidRDefault="00784391" w:rsidP="00784391">
      <w:pPr>
        <w:rPr>
          <w:rFonts w:cstheme="majorBidi"/>
          <w:sz w:val="24"/>
          <w:szCs w:val="24"/>
        </w:rPr>
      </w:pPr>
      <w:r w:rsidRPr="00784391">
        <w:rPr>
          <w:rFonts w:cstheme="majorBidi"/>
          <w:sz w:val="24"/>
          <w:szCs w:val="24"/>
        </w:rPr>
        <w:t xml:space="preserve">Users should note that the Consortium bears no responsibility for the further analysis or interpretation of these data, over and above that published by the Consortium. </w:t>
      </w:r>
    </w:p>
    <w:p w14:paraId="67CEE644" w14:textId="77777777" w:rsidR="00567420" w:rsidRDefault="00567420" w:rsidP="00784391">
      <w:pPr>
        <w:rPr>
          <w:rFonts w:cstheme="majorBidi"/>
          <w:sz w:val="24"/>
          <w:szCs w:val="24"/>
        </w:rPr>
      </w:pPr>
    </w:p>
    <w:p w14:paraId="0764B971" w14:textId="77777777" w:rsidR="00BE49BD" w:rsidRDefault="00BE49BD">
      <w:pPr>
        <w:rPr>
          <w:rFonts w:cstheme="majorBidi"/>
          <w:b/>
          <w:bCs/>
          <w:sz w:val="24"/>
          <w:szCs w:val="24"/>
        </w:rPr>
      </w:pPr>
      <w:r>
        <w:rPr>
          <w:rFonts w:cstheme="majorBidi"/>
          <w:b/>
          <w:bCs/>
          <w:sz w:val="24"/>
          <w:szCs w:val="24"/>
        </w:rPr>
        <w:br w:type="page"/>
      </w:r>
    </w:p>
    <w:p w14:paraId="3E2ADC66" w14:textId="77777777" w:rsidR="00784391" w:rsidRPr="00BE49BD" w:rsidRDefault="00784391" w:rsidP="00784391">
      <w:pPr>
        <w:rPr>
          <w:rFonts w:cstheme="majorBidi"/>
          <w:b/>
          <w:bCs/>
        </w:rPr>
      </w:pPr>
      <w:r w:rsidRPr="00BE49BD">
        <w:rPr>
          <w:rFonts w:cstheme="majorBidi"/>
          <w:b/>
          <w:bCs/>
        </w:rPr>
        <w:lastRenderedPageBreak/>
        <w:t xml:space="preserve">For and on behalf of User: </w:t>
      </w:r>
    </w:p>
    <w:p w14:paraId="0D55FF50" w14:textId="77777777" w:rsidR="00784391" w:rsidRPr="00BE49BD" w:rsidRDefault="00784391" w:rsidP="00784391">
      <w:pPr>
        <w:rPr>
          <w:rFonts w:cstheme="majorBidi"/>
          <w:b/>
          <w:bCs/>
        </w:rPr>
      </w:pPr>
      <w:r w:rsidRPr="00BE49BD">
        <w:rPr>
          <w:rFonts w:cstheme="majorBidi"/>
          <w:b/>
          <w:bCs/>
        </w:rPr>
        <w:t xml:space="preserve">Name of </w:t>
      </w:r>
    </w:p>
    <w:p w14:paraId="373053C4" w14:textId="77777777" w:rsidR="00784391" w:rsidRPr="00BE49BD" w:rsidRDefault="00784391" w:rsidP="00134221">
      <w:pPr>
        <w:rPr>
          <w:rFonts w:cstheme="majorBidi"/>
        </w:rPr>
      </w:pPr>
      <w:r w:rsidRPr="00BE49BD">
        <w:rPr>
          <w:rFonts w:cstheme="majorBidi"/>
          <w:b/>
          <w:bCs/>
        </w:rPr>
        <w:t>Applicant(s):</w:t>
      </w:r>
      <w:r w:rsidR="00134221" w:rsidRPr="00BE49BD">
        <w:rPr>
          <w:rFonts w:cstheme="majorBidi"/>
          <w:b/>
          <w:bCs/>
        </w:rPr>
        <w:tab/>
      </w:r>
      <w:r w:rsidR="00134221" w:rsidRPr="00BE49BD">
        <w:rPr>
          <w:rFonts w:cstheme="majorBidi"/>
          <w:b/>
          <w:bCs/>
        </w:rPr>
        <w:tab/>
      </w:r>
      <w:r w:rsidRPr="00BE49BD">
        <w:rPr>
          <w:rFonts w:cstheme="majorBidi"/>
        </w:rPr>
        <w:t>_</w:t>
      </w:r>
      <w:r w:rsidR="0021457B">
        <w:rPr>
          <w:rFonts w:cstheme="majorBidi"/>
        </w:rPr>
        <w:t>Dr. Alexei Fedorov</w:t>
      </w:r>
      <w:r w:rsidRPr="00BE49BD">
        <w:rPr>
          <w:rFonts w:cstheme="majorBidi"/>
        </w:rPr>
        <w:t xml:space="preserve">_____________________ </w:t>
      </w:r>
    </w:p>
    <w:p w14:paraId="540A466A"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293C43E6"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08059DE8"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5A878E78" w14:textId="77777777" w:rsidR="00784391" w:rsidRPr="00BE49BD" w:rsidRDefault="00784391" w:rsidP="00784391">
      <w:pPr>
        <w:rPr>
          <w:rFonts w:cstheme="majorBidi"/>
          <w:b/>
          <w:bCs/>
        </w:rPr>
      </w:pPr>
      <w:r w:rsidRPr="00BE49BD">
        <w:rPr>
          <w:rFonts w:cstheme="majorBidi"/>
          <w:b/>
          <w:bCs/>
        </w:rPr>
        <w:t xml:space="preserve">Signature of </w:t>
      </w:r>
    </w:p>
    <w:p w14:paraId="1D716C7C" w14:textId="77777777" w:rsidR="00784391" w:rsidRPr="00BE49BD" w:rsidRDefault="00784391" w:rsidP="00784391">
      <w:pPr>
        <w:rPr>
          <w:rFonts w:cstheme="majorBidi"/>
        </w:rPr>
      </w:pPr>
      <w:r w:rsidRPr="00BE49BD">
        <w:rPr>
          <w:rFonts w:cstheme="majorBidi"/>
          <w:b/>
          <w:bCs/>
        </w:rPr>
        <w:t>Applicant(s):</w:t>
      </w:r>
      <w:r w:rsidR="00134221" w:rsidRPr="00BE49BD">
        <w:rPr>
          <w:rFonts w:cstheme="majorBidi"/>
          <w:b/>
          <w:bCs/>
        </w:rPr>
        <w:tab/>
      </w:r>
      <w:r w:rsidR="00134221" w:rsidRPr="00BE49BD">
        <w:rPr>
          <w:rFonts w:cstheme="majorBidi"/>
          <w:b/>
          <w:bCs/>
        </w:rPr>
        <w:tab/>
      </w:r>
      <w:r w:rsidRPr="00BE49BD">
        <w:rPr>
          <w:rFonts w:cstheme="majorBidi"/>
        </w:rPr>
        <w:t xml:space="preserve">_____________________________________ </w:t>
      </w:r>
    </w:p>
    <w:p w14:paraId="235B9130"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0ADDA480"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73FC6F9B" w14:textId="77777777" w:rsidR="00784391" w:rsidRPr="00BE49BD" w:rsidRDefault="00784391" w:rsidP="00134221">
      <w:pPr>
        <w:ind w:left="1440" w:firstLine="720"/>
        <w:rPr>
          <w:rFonts w:cstheme="majorBidi"/>
        </w:rPr>
      </w:pPr>
      <w:r w:rsidRPr="00BE49BD">
        <w:rPr>
          <w:rFonts w:cstheme="majorBidi"/>
        </w:rPr>
        <w:t xml:space="preserve">_____________________________________ </w:t>
      </w:r>
    </w:p>
    <w:p w14:paraId="3652747C" w14:textId="77777777" w:rsidR="00784391" w:rsidRPr="00BE49BD" w:rsidRDefault="00784391" w:rsidP="00784391">
      <w:pPr>
        <w:rPr>
          <w:rFonts w:cstheme="majorBidi"/>
        </w:rPr>
      </w:pPr>
      <w:r w:rsidRPr="00BE49BD">
        <w:rPr>
          <w:rFonts w:cstheme="majorBidi"/>
          <w:b/>
          <w:bCs/>
        </w:rPr>
        <w:t>Date:</w:t>
      </w:r>
      <w:r w:rsidRPr="00BE49BD">
        <w:rPr>
          <w:rFonts w:cstheme="majorBidi"/>
        </w:rPr>
        <w:t xml:space="preserve"> </w:t>
      </w:r>
      <w:r w:rsidR="00134221" w:rsidRPr="00BE49BD">
        <w:rPr>
          <w:rFonts w:cstheme="majorBidi"/>
        </w:rPr>
        <w:tab/>
      </w:r>
      <w:r w:rsidR="00134221" w:rsidRPr="00BE49BD">
        <w:rPr>
          <w:rFonts w:cstheme="majorBidi"/>
        </w:rPr>
        <w:tab/>
      </w:r>
      <w:r w:rsidR="00134221" w:rsidRPr="00BE49BD">
        <w:rPr>
          <w:rFonts w:cstheme="majorBidi"/>
        </w:rPr>
        <w:tab/>
      </w:r>
      <w:r w:rsidRPr="00BE49BD">
        <w:rPr>
          <w:rFonts w:cstheme="majorBidi"/>
        </w:rPr>
        <w:t xml:space="preserve">_____________________________________ </w:t>
      </w:r>
    </w:p>
    <w:p w14:paraId="144B9789" w14:textId="77777777" w:rsidR="00134221" w:rsidRPr="00BE49BD" w:rsidRDefault="00134221" w:rsidP="00784391">
      <w:pPr>
        <w:rPr>
          <w:rFonts w:cstheme="majorBidi"/>
          <w:b/>
          <w:bCs/>
        </w:rPr>
      </w:pPr>
    </w:p>
    <w:p w14:paraId="3301181F" w14:textId="77777777" w:rsidR="00784391" w:rsidRPr="00BE49BD" w:rsidRDefault="00784391" w:rsidP="00784391">
      <w:pPr>
        <w:rPr>
          <w:rFonts w:cstheme="majorBidi"/>
          <w:b/>
          <w:bCs/>
        </w:rPr>
      </w:pPr>
      <w:r w:rsidRPr="00BE49BD">
        <w:rPr>
          <w:rFonts w:cstheme="majorBidi"/>
          <w:b/>
          <w:bCs/>
        </w:rPr>
        <w:t xml:space="preserve">For and on behalf of User Institution: </w:t>
      </w:r>
    </w:p>
    <w:p w14:paraId="4C071D53" w14:textId="77777777" w:rsidR="00134221" w:rsidRPr="00BE49BD" w:rsidRDefault="00134221" w:rsidP="00784391">
      <w:pPr>
        <w:rPr>
          <w:rFonts w:cstheme="majorBidi"/>
        </w:rPr>
      </w:pPr>
    </w:p>
    <w:p w14:paraId="47FCDE9B" w14:textId="77777777" w:rsidR="00784391" w:rsidRPr="00BE49BD" w:rsidRDefault="00784391" w:rsidP="00784391">
      <w:pPr>
        <w:rPr>
          <w:rFonts w:cstheme="majorBidi"/>
          <w:b/>
          <w:bCs/>
        </w:rPr>
      </w:pPr>
      <w:r w:rsidRPr="00BE49BD">
        <w:rPr>
          <w:rFonts w:cstheme="majorBidi"/>
          <w:b/>
          <w:bCs/>
        </w:rPr>
        <w:t xml:space="preserve">Signature of </w:t>
      </w:r>
    </w:p>
    <w:p w14:paraId="4AF4B7E6" w14:textId="77777777" w:rsidR="00784391" w:rsidRPr="00BE49BD" w:rsidRDefault="00784391" w:rsidP="00784391">
      <w:pPr>
        <w:rPr>
          <w:rFonts w:cstheme="majorBidi"/>
          <w:b/>
          <w:bCs/>
        </w:rPr>
      </w:pPr>
      <w:r w:rsidRPr="00BE49BD">
        <w:rPr>
          <w:rFonts w:cstheme="majorBidi"/>
          <w:b/>
          <w:bCs/>
        </w:rPr>
        <w:t xml:space="preserve">Institutional or </w:t>
      </w:r>
    </w:p>
    <w:p w14:paraId="293FD95C" w14:textId="77777777" w:rsidR="00784391" w:rsidRPr="00BE49BD" w:rsidRDefault="00784391" w:rsidP="00784391">
      <w:pPr>
        <w:rPr>
          <w:rFonts w:cstheme="majorBidi"/>
          <w:b/>
          <w:bCs/>
        </w:rPr>
      </w:pPr>
      <w:r w:rsidRPr="00BE49BD">
        <w:rPr>
          <w:rFonts w:cstheme="majorBidi"/>
          <w:b/>
          <w:bCs/>
        </w:rPr>
        <w:t xml:space="preserve">Administrative </w:t>
      </w:r>
      <w:r w:rsidR="0021457B">
        <w:rPr>
          <w:rFonts w:cstheme="majorBidi"/>
          <w:b/>
          <w:bCs/>
        </w:rPr>
        <w:tab/>
      </w:r>
      <w:r w:rsidR="0021457B">
        <w:rPr>
          <w:rFonts w:cstheme="majorBidi"/>
          <w:b/>
          <w:bCs/>
        </w:rPr>
        <w:tab/>
      </w:r>
      <w:r w:rsidR="0021457B">
        <w:rPr>
          <w:rFonts w:cstheme="majorBidi"/>
        </w:rPr>
        <w:t xml:space="preserve">Chairman of the Department of Medicine, </w:t>
      </w:r>
      <w:r w:rsidR="0021457B" w:rsidRPr="00BE49BD">
        <w:rPr>
          <w:rFonts w:cstheme="majorBidi"/>
        </w:rPr>
        <w:t xml:space="preserve"> </w:t>
      </w:r>
    </w:p>
    <w:p w14:paraId="118259FE" w14:textId="77777777" w:rsidR="00784391" w:rsidRPr="00BE49BD" w:rsidRDefault="00784391" w:rsidP="00784391">
      <w:pPr>
        <w:rPr>
          <w:rFonts w:cstheme="majorBidi"/>
        </w:rPr>
      </w:pPr>
      <w:r w:rsidRPr="00BE49BD">
        <w:rPr>
          <w:rFonts w:cstheme="majorBidi"/>
          <w:b/>
          <w:bCs/>
        </w:rPr>
        <w:t>Authority:</w:t>
      </w:r>
      <w:r w:rsidR="00134221" w:rsidRPr="00BE49BD">
        <w:rPr>
          <w:rFonts w:cstheme="majorBidi"/>
          <w:b/>
          <w:bCs/>
        </w:rPr>
        <w:tab/>
      </w:r>
      <w:r w:rsidR="00134221" w:rsidRPr="00BE49BD">
        <w:rPr>
          <w:rFonts w:cstheme="majorBidi"/>
          <w:b/>
          <w:bCs/>
        </w:rPr>
        <w:tab/>
      </w:r>
      <w:r w:rsidR="0021457B">
        <w:rPr>
          <w:rFonts w:cstheme="majorBidi"/>
        </w:rPr>
        <w:t xml:space="preserve"> The </w:t>
      </w:r>
      <w:r w:rsidR="0021457B" w:rsidRPr="0021457B">
        <w:rPr>
          <w:rFonts w:cstheme="majorBidi"/>
        </w:rPr>
        <w:t>University of Toledo</w:t>
      </w:r>
    </w:p>
    <w:p w14:paraId="50C32842" w14:textId="77777777" w:rsidR="0021457B" w:rsidRDefault="00784391" w:rsidP="00784391">
      <w:pPr>
        <w:rPr>
          <w:rFonts w:cstheme="majorBidi"/>
        </w:rPr>
      </w:pPr>
      <w:r w:rsidRPr="00BE49BD">
        <w:rPr>
          <w:rFonts w:cstheme="majorBidi"/>
          <w:b/>
          <w:bCs/>
        </w:rPr>
        <w:t>Print name:</w:t>
      </w:r>
      <w:r w:rsidR="00134221" w:rsidRPr="00BE49BD">
        <w:rPr>
          <w:rFonts w:cstheme="majorBidi"/>
        </w:rPr>
        <w:tab/>
      </w:r>
      <w:r w:rsidR="00134221" w:rsidRPr="00BE49BD">
        <w:rPr>
          <w:rFonts w:cstheme="majorBidi"/>
        </w:rPr>
        <w:tab/>
      </w:r>
      <w:r w:rsidR="0021457B">
        <w:rPr>
          <w:rFonts w:cstheme="majorBidi"/>
        </w:rPr>
        <w:t xml:space="preserve"> Dr. Lance </w:t>
      </w:r>
      <w:proofErr w:type="spellStart"/>
      <w:r w:rsidR="0021457B">
        <w:rPr>
          <w:rFonts w:cstheme="majorBidi"/>
        </w:rPr>
        <w:t>Dworkin</w:t>
      </w:r>
      <w:proofErr w:type="spellEnd"/>
    </w:p>
    <w:p w14:paraId="69EC54A6" w14:textId="77777777" w:rsidR="00784391" w:rsidRPr="00BE49BD" w:rsidRDefault="00784391" w:rsidP="00784391">
      <w:pPr>
        <w:rPr>
          <w:rFonts w:cstheme="majorBidi"/>
        </w:rPr>
      </w:pPr>
      <w:r w:rsidRPr="00BE49BD">
        <w:rPr>
          <w:rFonts w:cstheme="majorBidi"/>
          <w:b/>
          <w:bCs/>
        </w:rPr>
        <w:t>User Institution:</w:t>
      </w:r>
      <w:r w:rsidRPr="00BE49BD">
        <w:rPr>
          <w:rFonts w:cstheme="majorBidi"/>
        </w:rPr>
        <w:t xml:space="preserve"> </w:t>
      </w:r>
      <w:r w:rsidR="00134221" w:rsidRPr="00BE49BD">
        <w:rPr>
          <w:rFonts w:cstheme="majorBidi"/>
        </w:rPr>
        <w:tab/>
        <w:t xml:space="preserve"> </w:t>
      </w:r>
      <w:r w:rsidR="0021457B">
        <w:rPr>
          <w:rFonts w:cstheme="majorBidi"/>
        </w:rPr>
        <w:t xml:space="preserve">The </w:t>
      </w:r>
      <w:r w:rsidR="0021457B" w:rsidRPr="0021457B">
        <w:rPr>
          <w:rFonts w:cstheme="majorBidi"/>
        </w:rPr>
        <w:t>University of Toledo</w:t>
      </w:r>
    </w:p>
    <w:p w14:paraId="2A785AFE" w14:textId="77777777" w:rsidR="00784391" w:rsidRPr="00BE49BD" w:rsidRDefault="00784391" w:rsidP="00784391">
      <w:pPr>
        <w:rPr>
          <w:rFonts w:cstheme="majorBidi"/>
        </w:rPr>
      </w:pPr>
      <w:r w:rsidRPr="00BE49BD">
        <w:rPr>
          <w:rFonts w:cstheme="majorBidi"/>
          <w:b/>
          <w:bCs/>
        </w:rPr>
        <w:t>Date:</w:t>
      </w:r>
      <w:r w:rsidRPr="00BE49BD">
        <w:rPr>
          <w:rFonts w:cstheme="majorBidi"/>
        </w:rPr>
        <w:t xml:space="preserve"> </w:t>
      </w:r>
      <w:r w:rsidR="00134221" w:rsidRPr="00BE49BD">
        <w:rPr>
          <w:rFonts w:cstheme="majorBidi"/>
        </w:rPr>
        <w:tab/>
      </w:r>
      <w:r w:rsidR="00134221" w:rsidRPr="00BE49BD">
        <w:rPr>
          <w:rFonts w:cstheme="majorBidi"/>
        </w:rPr>
        <w:tab/>
      </w:r>
      <w:r w:rsidR="00134221" w:rsidRPr="00BE49BD">
        <w:rPr>
          <w:rFonts w:cstheme="majorBidi"/>
        </w:rPr>
        <w:tab/>
        <w:t xml:space="preserve"> </w:t>
      </w:r>
      <w:r w:rsidRPr="00BE49BD">
        <w:rPr>
          <w:rFonts w:cstheme="majorBidi"/>
        </w:rPr>
        <w:t xml:space="preserve">______________________________________ </w:t>
      </w:r>
    </w:p>
    <w:p w14:paraId="66479152" w14:textId="77777777" w:rsidR="00134221" w:rsidRPr="00BE49BD" w:rsidRDefault="00134221" w:rsidP="00784391">
      <w:pPr>
        <w:rPr>
          <w:rFonts w:cstheme="majorBidi"/>
        </w:rPr>
      </w:pPr>
    </w:p>
    <w:p w14:paraId="629EE8D4" w14:textId="77777777" w:rsidR="00784391" w:rsidRPr="00BE49BD" w:rsidRDefault="00784391" w:rsidP="00784391">
      <w:pPr>
        <w:rPr>
          <w:rFonts w:cstheme="majorBidi"/>
          <w:sz w:val="24"/>
          <w:szCs w:val="24"/>
        </w:rPr>
      </w:pPr>
      <w:r w:rsidRPr="00BE49BD">
        <w:rPr>
          <w:rFonts w:cstheme="majorBidi"/>
          <w:sz w:val="24"/>
          <w:szCs w:val="24"/>
        </w:rPr>
        <w:t>WHEN SUBMITTING THIS DOCUMENT, PLEASE INCLUDE ALL PAGES OF THE AGR</w:t>
      </w:r>
      <w:r w:rsidR="00134221" w:rsidRPr="00BE49BD">
        <w:rPr>
          <w:rFonts w:cstheme="majorBidi"/>
          <w:sz w:val="24"/>
          <w:szCs w:val="24"/>
        </w:rPr>
        <w:t>EEMENT WITH THIS SIGNATURE PAGE.</w:t>
      </w:r>
    </w:p>
    <w:sectPr w:rsidR="00784391" w:rsidRPr="00BE49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0A0B5" w14:textId="77777777" w:rsidR="00DE31A5" w:rsidRDefault="00DE31A5" w:rsidP="00134221">
      <w:pPr>
        <w:spacing w:after="0" w:line="240" w:lineRule="auto"/>
      </w:pPr>
      <w:r>
        <w:separator/>
      </w:r>
    </w:p>
  </w:endnote>
  <w:endnote w:type="continuationSeparator" w:id="0">
    <w:p w14:paraId="47145F26" w14:textId="77777777" w:rsidR="00DE31A5" w:rsidRDefault="00DE31A5" w:rsidP="0013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32AF" w14:textId="77777777" w:rsidR="00134221" w:rsidRDefault="00EB2983" w:rsidP="004E3ECA">
    <w:pPr>
      <w:pStyle w:val="Footer"/>
      <w:jc w:val="center"/>
    </w:pPr>
    <w:r>
      <w:t>T</w:t>
    </w:r>
    <w:r w:rsidR="00313BE9">
      <w:t xml:space="preserve">he </w:t>
    </w:r>
    <w:r>
      <w:t>A</w:t>
    </w:r>
    <w:r w:rsidR="00313BE9">
      <w:t xml:space="preserve">shkenazi </w:t>
    </w:r>
    <w:r>
      <w:t>G</w:t>
    </w:r>
    <w:r w:rsidR="00313BE9">
      <w:t xml:space="preserve">enome </w:t>
    </w:r>
    <w:r>
      <w:t>C</w:t>
    </w:r>
    <w:r w:rsidR="00313BE9">
      <w:t>onsortium</w:t>
    </w:r>
    <w:r>
      <w:t xml:space="preserve"> D</w:t>
    </w:r>
    <w:r w:rsidR="00313BE9">
      <w:t xml:space="preserve">ata </w:t>
    </w:r>
    <w:r>
      <w:t>A</w:t>
    </w:r>
    <w:r w:rsidR="00313BE9">
      <w:t xml:space="preserve">ccess </w:t>
    </w:r>
    <w:r>
      <w:t>A</w:t>
    </w:r>
    <w:r w:rsidR="00313BE9">
      <w:t>greement</w:t>
    </w:r>
    <w:r>
      <w:t xml:space="preserve">, </w:t>
    </w:r>
    <w:r w:rsidR="004E3ECA">
      <w:t>March</w:t>
    </w:r>
    <w:r>
      <w:t xml:space="preserve"> 201</w:t>
    </w:r>
    <w:r w:rsidR="002F7F5A">
      <w:t>4</w:t>
    </w:r>
  </w:p>
  <w:p w14:paraId="6FE74401" w14:textId="77777777" w:rsidR="00134221" w:rsidRDefault="001342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6F864" w14:textId="77777777" w:rsidR="00DE31A5" w:rsidRDefault="00DE31A5" w:rsidP="00134221">
      <w:pPr>
        <w:spacing w:after="0" w:line="240" w:lineRule="auto"/>
      </w:pPr>
      <w:r>
        <w:separator/>
      </w:r>
    </w:p>
  </w:footnote>
  <w:footnote w:type="continuationSeparator" w:id="0">
    <w:p w14:paraId="0041483E" w14:textId="77777777" w:rsidR="00DE31A5" w:rsidRDefault="00DE31A5" w:rsidP="0013422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92C"/>
    <w:multiLevelType w:val="hybridMultilevel"/>
    <w:tmpl w:val="900A468E"/>
    <w:lvl w:ilvl="0" w:tplc="0409000F">
      <w:start w:val="1"/>
      <w:numFmt w:val="decimal"/>
      <w:lvlText w:val="%1."/>
      <w:lvlJc w:val="left"/>
      <w:pPr>
        <w:ind w:left="720" w:hanging="360"/>
      </w:pPr>
    </w:lvl>
    <w:lvl w:ilvl="1" w:tplc="1A0CA6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A0106"/>
    <w:multiLevelType w:val="hybridMultilevel"/>
    <w:tmpl w:val="D8049B22"/>
    <w:lvl w:ilvl="0" w:tplc="04090017">
      <w:start w:val="1"/>
      <w:numFmt w:val="lowerLetter"/>
      <w:lvlText w:val="%1)"/>
      <w:lvlJc w:val="left"/>
      <w:pPr>
        <w:ind w:left="720" w:hanging="360"/>
      </w:pPr>
    </w:lvl>
    <w:lvl w:ilvl="1" w:tplc="1A0CA6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23"/>
    <w:rsid w:val="000026ED"/>
    <w:rsid w:val="00034B23"/>
    <w:rsid w:val="000C0EE5"/>
    <w:rsid w:val="00114590"/>
    <w:rsid w:val="001203AD"/>
    <w:rsid w:val="00132CBC"/>
    <w:rsid w:val="00134221"/>
    <w:rsid w:val="00135AB9"/>
    <w:rsid w:val="001451A7"/>
    <w:rsid w:val="00177D1E"/>
    <w:rsid w:val="001939AB"/>
    <w:rsid w:val="00206FCF"/>
    <w:rsid w:val="0021457B"/>
    <w:rsid w:val="00225116"/>
    <w:rsid w:val="00237306"/>
    <w:rsid w:val="00242C70"/>
    <w:rsid w:val="00250901"/>
    <w:rsid w:val="00253EE9"/>
    <w:rsid w:val="00254EAC"/>
    <w:rsid w:val="002A5CBF"/>
    <w:rsid w:val="002B38E9"/>
    <w:rsid w:val="002B4A4D"/>
    <w:rsid w:val="002B5C8F"/>
    <w:rsid w:val="002D34FE"/>
    <w:rsid w:val="002F7F5A"/>
    <w:rsid w:val="00313BE9"/>
    <w:rsid w:val="003736A7"/>
    <w:rsid w:val="003C061A"/>
    <w:rsid w:val="003C18DE"/>
    <w:rsid w:val="003D2608"/>
    <w:rsid w:val="003E504D"/>
    <w:rsid w:val="00452C60"/>
    <w:rsid w:val="00460C11"/>
    <w:rsid w:val="00466EF3"/>
    <w:rsid w:val="00472EBE"/>
    <w:rsid w:val="00482A94"/>
    <w:rsid w:val="004875C8"/>
    <w:rsid w:val="004C123C"/>
    <w:rsid w:val="004E3ECA"/>
    <w:rsid w:val="00545C95"/>
    <w:rsid w:val="00567420"/>
    <w:rsid w:val="00582A0A"/>
    <w:rsid w:val="006243E7"/>
    <w:rsid w:val="0062799E"/>
    <w:rsid w:val="00635889"/>
    <w:rsid w:val="00686679"/>
    <w:rsid w:val="007034EF"/>
    <w:rsid w:val="0075207C"/>
    <w:rsid w:val="007610CE"/>
    <w:rsid w:val="00765CCE"/>
    <w:rsid w:val="00784391"/>
    <w:rsid w:val="008117E5"/>
    <w:rsid w:val="00815E12"/>
    <w:rsid w:val="008672C6"/>
    <w:rsid w:val="008A1BA0"/>
    <w:rsid w:val="008A3524"/>
    <w:rsid w:val="008C18A7"/>
    <w:rsid w:val="00901C87"/>
    <w:rsid w:val="009175C5"/>
    <w:rsid w:val="00967F9B"/>
    <w:rsid w:val="009A42C1"/>
    <w:rsid w:val="00A252DD"/>
    <w:rsid w:val="00A607D9"/>
    <w:rsid w:val="00AF61A7"/>
    <w:rsid w:val="00B02F82"/>
    <w:rsid w:val="00B33D12"/>
    <w:rsid w:val="00B37A29"/>
    <w:rsid w:val="00B5793F"/>
    <w:rsid w:val="00B57D4F"/>
    <w:rsid w:val="00B70B40"/>
    <w:rsid w:val="00BC375F"/>
    <w:rsid w:val="00BE49BD"/>
    <w:rsid w:val="00C058C6"/>
    <w:rsid w:val="00C1103C"/>
    <w:rsid w:val="00C770D6"/>
    <w:rsid w:val="00CB46ED"/>
    <w:rsid w:val="00D42DA5"/>
    <w:rsid w:val="00D75A2D"/>
    <w:rsid w:val="00D87DA7"/>
    <w:rsid w:val="00DE31A5"/>
    <w:rsid w:val="00E414AC"/>
    <w:rsid w:val="00E63714"/>
    <w:rsid w:val="00E659E9"/>
    <w:rsid w:val="00E65FA0"/>
    <w:rsid w:val="00E70E78"/>
    <w:rsid w:val="00EB2983"/>
    <w:rsid w:val="00F47E8A"/>
    <w:rsid w:val="00F922E6"/>
    <w:rsid w:val="00FB15A5"/>
    <w:rsid w:val="00FC568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E9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91"/>
    <w:pPr>
      <w:ind w:left="720"/>
      <w:contextualSpacing/>
    </w:pPr>
  </w:style>
  <w:style w:type="character" w:styleId="CommentReference">
    <w:name w:val="annotation reference"/>
    <w:basedOn w:val="DefaultParagraphFont"/>
    <w:uiPriority w:val="99"/>
    <w:semiHidden/>
    <w:unhideWhenUsed/>
    <w:rsid w:val="00784391"/>
    <w:rPr>
      <w:sz w:val="16"/>
      <w:szCs w:val="16"/>
    </w:rPr>
  </w:style>
  <w:style w:type="paragraph" w:styleId="CommentText">
    <w:name w:val="annotation text"/>
    <w:basedOn w:val="Normal"/>
    <w:link w:val="CommentTextChar"/>
    <w:uiPriority w:val="99"/>
    <w:semiHidden/>
    <w:unhideWhenUsed/>
    <w:rsid w:val="00784391"/>
    <w:pPr>
      <w:spacing w:line="240" w:lineRule="auto"/>
    </w:pPr>
    <w:rPr>
      <w:sz w:val="20"/>
      <w:szCs w:val="20"/>
    </w:rPr>
  </w:style>
  <w:style w:type="character" w:customStyle="1" w:styleId="CommentTextChar">
    <w:name w:val="Comment Text Char"/>
    <w:basedOn w:val="DefaultParagraphFont"/>
    <w:link w:val="CommentText"/>
    <w:uiPriority w:val="99"/>
    <w:semiHidden/>
    <w:rsid w:val="00784391"/>
    <w:rPr>
      <w:sz w:val="20"/>
      <w:szCs w:val="20"/>
    </w:rPr>
  </w:style>
  <w:style w:type="paragraph" w:styleId="CommentSubject">
    <w:name w:val="annotation subject"/>
    <w:basedOn w:val="CommentText"/>
    <w:next w:val="CommentText"/>
    <w:link w:val="CommentSubjectChar"/>
    <w:uiPriority w:val="99"/>
    <w:semiHidden/>
    <w:unhideWhenUsed/>
    <w:rsid w:val="00784391"/>
    <w:rPr>
      <w:b/>
      <w:bCs/>
    </w:rPr>
  </w:style>
  <w:style w:type="character" w:customStyle="1" w:styleId="CommentSubjectChar">
    <w:name w:val="Comment Subject Char"/>
    <w:basedOn w:val="CommentTextChar"/>
    <w:link w:val="CommentSubject"/>
    <w:uiPriority w:val="99"/>
    <w:semiHidden/>
    <w:rsid w:val="00784391"/>
    <w:rPr>
      <w:b/>
      <w:bCs/>
      <w:sz w:val="20"/>
      <w:szCs w:val="20"/>
    </w:rPr>
  </w:style>
  <w:style w:type="paragraph" w:styleId="BalloonText">
    <w:name w:val="Balloon Text"/>
    <w:basedOn w:val="Normal"/>
    <w:link w:val="BalloonTextChar"/>
    <w:uiPriority w:val="99"/>
    <w:semiHidden/>
    <w:unhideWhenUsed/>
    <w:rsid w:val="0078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391"/>
    <w:rPr>
      <w:rFonts w:ascii="Tahoma" w:hAnsi="Tahoma" w:cs="Tahoma"/>
      <w:sz w:val="16"/>
      <w:szCs w:val="16"/>
    </w:rPr>
  </w:style>
  <w:style w:type="paragraph" w:styleId="Header">
    <w:name w:val="header"/>
    <w:basedOn w:val="Normal"/>
    <w:link w:val="HeaderChar"/>
    <w:uiPriority w:val="99"/>
    <w:unhideWhenUsed/>
    <w:rsid w:val="0013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21"/>
  </w:style>
  <w:style w:type="paragraph" w:styleId="Footer">
    <w:name w:val="footer"/>
    <w:basedOn w:val="Normal"/>
    <w:link w:val="FooterChar"/>
    <w:uiPriority w:val="99"/>
    <w:unhideWhenUsed/>
    <w:rsid w:val="0013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21"/>
  </w:style>
  <w:style w:type="table" w:styleId="TableGrid">
    <w:name w:val="Table Grid"/>
    <w:basedOn w:val="TableNormal"/>
    <w:uiPriority w:val="59"/>
    <w:rsid w:val="00C7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770D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91"/>
    <w:pPr>
      <w:ind w:left="720"/>
      <w:contextualSpacing/>
    </w:pPr>
  </w:style>
  <w:style w:type="character" w:styleId="CommentReference">
    <w:name w:val="annotation reference"/>
    <w:basedOn w:val="DefaultParagraphFont"/>
    <w:uiPriority w:val="99"/>
    <w:semiHidden/>
    <w:unhideWhenUsed/>
    <w:rsid w:val="00784391"/>
    <w:rPr>
      <w:sz w:val="16"/>
      <w:szCs w:val="16"/>
    </w:rPr>
  </w:style>
  <w:style w:type="paragraph" w:styleId="CommentText">
    <w:name w:val="annotation text"/>
    <w:basedOn w:val="Normal"/>
    <w:link w:val="CommentTextChar"/>
    <w:uiPriority w:val="99"/>
    <w:semiHidden/>
    <w:unhideWhenUsed/>
    <w:rsid w:val="00784391"/>
    <w:pPr>
      <w:spacing w:line="240" w:lineRule="auto"/>
    </w:pPr>
    <w:rPr>
      <w:sz w:val="20"/>
      <w:szCs w:val="20"/>
    </w:rPr>
  </w:style>
  <w:style w:type="character" w:customStyle="1" w:styleId="CommentTextChar">
    <w:name w:val="Comment Text Char"/>
    <w:basedOn w:val="DefaultParagraphFont"/>
    <w:link w:val="CommentText"/>
    <w:uiPriority w:val="99"/>
    <w:semiHidden/>
    <w:rsid w:val="00784391"/>
    <w:rPr>
      <w:sz w:val="20"/>
      <w:szCs w:val="20"/>
    </w:rPr>
  </w:style>
  <w:style w:type="paragraph" w:styleId="CommentSubject">
    <w:name w:val="annotation subject"/>
    <w:basedOn w:val="CommentText"/>
    <w:next w:val="CommentText"/>
    <w:link w:val="CommentSubjectChar"/>
    <w:uiPriority w:val="99"/>
    <w:semiHidden/>
    <w:unhideWhenUsed/>
    <w:rsid w:val="00784391"/>
    <w:rPr>
      <w:b/>
      <w:bCs/>
    </w:rPr>
  </w:style>
  <w:style w:type="character" w:customStyle="1" w:styleId="CommentSubjectChar">
    <w:name w:val="Comment Subject Char"/>
    <w:basedOn w:val="CommentTextChar"/>
    <w:link w:val="CommentSubject"/>
    <w:uiPriority w:val="99"/>
    <w:semiHidden/>
    <w:rsid w:val="00784391"/>
    <w:rPr>
      <w:b/>
      <w:bCs/>
      <w:sz w:val="20"/>
      <w:szCs w:val="20"/>
    </w:rPr>
  </w:style>
  <w:style w:type="paragraph" w:styleId="BalloonText">
    <w:name w:val="Balloon Text"/>
    <w:basedOn w:val="Normal"/>
    <w:link w:val="BalloonTextChar"/>
    <w:uiPriority w:val="99"/>
    <w:semiHidden/>
    <w:unhideWhenUsed/>
    <w:rsid w:val="0078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391"/>
    <w:rPr>
      <w:rFonts w:ascii="Tahoma" w:hAnsi="Tahoma" w:cs="Tahoma"/>
      <w:sz w:val="16"/>
      <w:szCs w:val="16"/>
    </w:rPr>
  </w:style>
  <w:style w:type="paragraph" w:styleId="Header">
    <w:name w:val="header"/>
    <w:basedOn w:val="Normal"/>
    <w:link w:val="HeaderChar"/>
    <w:uiPriority w:val="99"/>
    <w:unhideWhenUsed/>
    <w:rsid w:val="0013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21"/>
  </w:style>
  <w:style w:type="paragraph" w:styleId="Footer">
    <w:name w:val="footer"/>
    <w:basedOn w:val="Normal"/>
    <w:link w:val="FooterChar"/>
    <w:uiPriority w:val="99"/>
    <w:unhideWhenUsed/>
    <w:rsid w:val="0013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21"/>
  </w:style>
  <w:style w:type="table" w:styleId="TableGrid">
    <w:name w:val="Table Grid"/>
    <w:basedOn w:val="TableNormal"/>
    <w:uiPriority w:val="59"/>
    <w:rsid w:val="00C7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77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1722</Words>
  <Characters>9816</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 Carmi</dc:creator>
  <cp:lastModifiedBy>Alexei Fedorov</cp:lastModifiedBy>
  <cp:revision>2</cp:revision>
  <cp:lastPrinted>2016-11-03T20:47:00Z</cp:lastPrinted>
  <dcterms:created xsi:type="dcterms:W3CDTF">2017-01-15T19:08:00Z</dcterms:created>
  <dcterms:modified xsi:type="dcterms:W3CDTF">2017-01-15T19:08:00Z</dcterms:modified>
</cp:coreProperties>
</file>